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IMS.1.b — Information management and technology acquisitions and the maintenance plan are in consonance with the identified information needs.</w:t>
      </w:r>
    </w:p>
    <w:p>
      <w:r>
        <w:t>IMS.1 Record 02 — Technology acquisition needs-check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 technology purchase was actually checked against a real, documented information need before approval -- not approved on a vendor's pitch alone.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proposed laboratory interface upgrade is checked against the register's entry for faster result turnaround for clinicians, confirmed as a documented need, and approved.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system bought because it looked impressive in a demo, rather than because a real information need called for it, is money spent without actually solving anything.</w:t>
            </w:r>
          </w:p>
        </w:tc>
      </w:tr>
    </w:tbl>
    <w:p/>
    <w:p>
      <w:r>
        <w:t>How to fill this in — column by column</w:t>
      </w:r>
    </w:p>
    <w:p>
      <w:r>
        <w:t>Proposed Acquisition: What is being bought/upgraded.</w:t>
      </w:r>
    </w:p>
    <w:p>
      <w:r>
        <w:t>Matched Need (Register Reference): Which documented need it serves.</w:t>
      </w:r>
    </w:p>
    <w:p>
      <w:r>
        <w:t>Approved (Y/N): Decision.</w:t>
      </w:r>
    </w:p>
    <w:p>
      <w:r>
        <w:t>Approving Authority / Date: Who and when.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Ministry of Health and Family Welfare, Government of India. (2016). </w:t>
      </w:r>
      <w:hyperlink r:id="rId9">
        <w:r>
          <w:rPr>
            <w:color w:val="0563C1"/>
            <w:u w:val="single"/>
          </w:rPr>
          <w:t>Electronic Health Record (EHR) Standards for India</w:t>
        </w:r>
      </w:hyperlink>
      <w:r>
        <w:t>. New Delhi: MoHFW -- guidance this hospital's record-structure and data-standardisation steps are built on, cited as guidance, not as a copied statute.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10">
        <w:r>
          <w:rPr>
            <w:color w:val="0563C1"/>
            <w:u w:val="single"/>
          </w:rPr>
          <w:t>NABH SHCO Accreditation Programme page</w:t>
        </w:r>
      </w:hyperlink>
      <w:r>
        <w:t>. Information Management System chapter, standard IMS.1.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Proposed Acquisition</w:t>
            </w:r>
          </w:p>
        </w:tc>
        <w:tc>
          <w:tcPr>
            <w:tcW w:type="dxa" w:w="2160"/>
          </w:tcPr>
          <w:p>
            <w:r>
              <w:t>Matched Need (Register Reference)</w:t>
            </w:r>
          </w:p>
        </w:tc>
        <w:tc>
          <w:tcPr>
            <w:tcW w:type="dxa" w:w="2160"/>
          </w:tcPr>
          <w:p>
            <w:r>
              <w:t>Approved (Y/N)</w:t>
            </w:r>
          </w:p>
        </w:tc>
        <w:tc>
          <w:tcPr>
            <w:tcW w:type="dxa" w:w="2160"/>
          </w:tcPr>
          <w:p>
            <w:r>
              <w:t>Approving Authority / Date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Laboratory interface upgrade</w:t>
            </w:r>
          </w:p>
        </w:tc>
        <w:tc>
          <w:tcPr>
            <w:tcW w:type="dxa" w:w="2160"/>
            <w:shd w:val="clear" w:color="auto" w:fill="FFF2CC"/>
          </w:tcPr>
          <w:p>
            <w:r>
              <w:t>Faster result turnaround for clinicians</w:t>
            </w:r>
          </w:p>
        </w:tc>
        <w:tc>
          <w:tcPr>
            <w:tcW w:type="dxa" w:w="2160"/>
            <w:shd w:val="clear" w:color="auto" w:fill="FFF2CC"/>
          </w:tcPr>
          <w:p>
            <w:r>
              <w:t>Y</w:t>
            </w:r>
          </w:p>
        </w:tc>
        <w:tc>
          <w:tcPr>
            <w:tcW w:type="dxa" w:w="2160"/>
            <w:shd w:val="clear" w:color="auto" w:fill="FFF2CC"/>
          </w:tcPr>
          <w:p>
            <w:r>
              <w:t>IT In-Charge — 05-Feb-2026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sanjeevani.mohfw.gov.in/assets/guidelines/ehr_guidlines.pdf" TargetMode="External"/><Relationship Id="rId10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