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IMS.2.a — The unique identifier is assigned to the medical record.</w:t>
      </w:r>
    </w:p>
    <w:p>
      <w:r>
        <w:t>IMS.2 Record 01 — Unique-identifier consistency and duplicate-investigation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same identifier actually appears on every page of a record, and that a duplicate number was actually investigated the same day -- not a number that was assigned once and never checked again.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spot check confirms the identifier is consistent across all 14 pages of a sampled record; a duplicate number flagged in March is investigated and resolved the same working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record with two numbers on two different pages, or a temporary identifier from an emergency admission that was never corrected, is a record a future clinician can no longer fully trust belongs to one patient.</w:t>
            </w:r>
          </w:p>
        </w:tc>
      </w:tr>
    </w:tbl>
    <w:p/>
    <w:p>
      <w:r>
        <w:t>How to fill this in — column by column</w:t>
      </w:r>
    </w:p>
    <w:p>
      <w:r>
        <w:t>Check Date / Record Sampled: When and which record.</w:t>
      </w:r>
    </w:p>
    <w:p>
      <w:r>
        <w:t>Identifier Consistent Across Record (Y/N): Confirmed.</w:t>
      </w:r>
    </w:p>
    <w:p>
      <w:r>
        <w:t>Duplicate Found (Y/N, Date): If applicable.</w:t>
      </w:r>
    </w:p>
    <w:p>
      <w:r>
        <w:t>Resolution / Date: How and when resolved.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Date / Record Sampled</w:t>
            </w:r>
          </w:p>
        </w:tc>
        <w:tc>
          <w:tcPr>
            <w:tcW w:type="dxa" w:w="2160"/>
          </w:tcPr>
          <w:p>
            <w:r>
              <w:t>Identifier Consistent Across Record (Y/N)</w:t>
            </w:r>
          </w:p>
        </w:tc>
        <w:tc>
          <w:tcPr>
            <w:tcW w:type="dxa" w:w="2160"/>
          </w:tcPr>
          <w:p>
            <w:r>
              <w:t>Duplicate Found (Y/N, Date)</w:t>
            </w:r>
          </w:p>
        </w:tc>
        <w:tc>
          <w:tcPr>
            <w:tcW w:type="dxa" w:w="2160"/>
          </w:tcPr>
          <w:p>
            <w:r>
              <w:t>Resolution /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10-Mar-2026 / UID-00620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12-Mar-2026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Resolved same day — registration office corrected index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