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IMS.3.d — The medical record contains a copy of the discharge summary.</w:t>
      </w:r>
    </w:p>
    <w:p>
      <w:r>
        <w:t>IMS.3 Record 04 — Discharge-summary-copy filing confirmation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a discharged record was not closed until the discharge-summary copy was actually confirmed present -- not assumed filed because the patient received their own copy.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A record held pending for two days until the discharge-summary copy is confirmed filed, then closed.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A discharge summary that was handed to the patient but never kept on file leaves this hospital with no record of its own account of how the episode ended.</w:t>
            </w:r>
          </w:p>
        </w:tc>
      </w:tr>
    </w:tbl>
    <w:p/>
    <w:p>
      <w:r>
        <w:t>How to fill this in — column by column</w:t>
      </w:r>
    </w:p>
    <w:p>
      <w:r>
        <w:t>Patient / Discharge Date: Who and when.</w:t>
      </w:r>
    </w:p>
    <w:p>
      <w:r>
        <w:t>Discharge-Summary Copy Present (Y/N): Confirmed.</w:t>
      </w:r>
    </w:p>
    <w:p>
      <w:r>
        <w:t>Record Closure Date: When the record was closed.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Information Management System chapter, standard IMS.3.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Patient / Discharge Date</w:t>
            </w:r>
          </w:p>
        </w:tc>
        <w:tc>
          <w:tcPr>
            <w:tcW w:type="dxa" w:w="2880"/>
          </w:tcPr>
          <w:p>
            <w:r>
              <w:t>Discharge-Summary Copy Present (Y/N)</w:t>
            </w:r>
          </w:p>
        </w:tc>
        <w:tc>
          <w:tcPr>
            <w:tcW w:type="dxa" w:w="2880"/>
          </w:tcPr>
          <w:p>
            <w:r>
              <w:t>Record Closure Date</w:t>
            </w:r>
          </w:p>
        </w:tc>
      </w:tr>
      <w:tr>
        <w:tc>
          <w:tcPr>
            <w:tcW w:type="dxa" w:w="2880"/>
            <w:shd w:val="clear" w:color="auto" w:fill="FFF2CC"/>
          </w:tcPr>
          <w:p>
            <w:r/>
          </w:p>
        </w:tc>
        <w:tc>
          <w:tcPr>
            <w:tcW w:type="dxa" w:w="2880"/>
            <w:shd w:val="clear" w:color="auto" w:fill="FFF2CC"/>
          </w:tcPr>
          <w:p>
            <w:r/>
          </w:p>
        </w:tc>
        <w:tc>
          <w:tcPr>
            <w:tcW w:type="dxa" w:w="2880"/>
            <w:shd w:val="clear" w:color="auto" w:fill="FFF2CC"/>
          </w:tcPr>
          <w:p>
            <w:r/>
          </w:p>
        </w:tc>
      </w:tr>
      <w:tr>
        <w:tc>
          <w:tcPr>
            <w:tcW w:type="dxa" w:w="2880"/>
            <w:shd w:val="clear" w:color="auto" w:fill="FFF2CC"/>
          </w:tcPr>
          <w:p>
            <w:r>
              <w:t>WORKED EXAMPLE — UID-00661 / 16-Mar-2026</w:t>
            </w:r>
          </w:p>
        </w:tc>
        <w:tc>
          <w:tcPr>
            <w:tcW w:type="dxa" w:w="2880"/>
            <w:shd w:val="clear" w:color="auto" w:fill="FFF2CC"/>
          </w:tcPr>
          <w:p>
            <w:r>
              <w:t>Y</w:t>
            </w:r>
          </w:p>
        </w:tc>
        <w:tc>
          <w:tcPr>
            <w:tcW w:type="dxa" w:w="2880"/>
            <w:shd w:val="clear" w:color="auto" w:fill="FFF2CC"/>
          </w:tcPr>
          <w:p>
            <w:r>
              <w:t>18-Mar-2026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