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IMS.6.b — The review uses a representative sample of both active and discharged patients, based on statistical principles.</w:t>
      </w:r>
    </w:p>
    <w:p>
      <w:r>
        <w:t>IMS.6 Record 02 — Sample-selection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the sample was actually drawn by a documented method covering both active and discharged records -- not hand-picked complete-looking files.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March's sample of 12 records is drawn by systematic sampling from the unique-identifier list, with 7 discharged and 5 active records represented.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sample of only the most complete-looking files, or only one department, tells this hospital what it wants to hear -- a genuinely representative sample is the only kind that tells the truth.</w:t>
            </w:r>
          </w:p>
        </w:tc>
      </w:tr>
    </w:tbl>
    <w:p/>
    <w:p>
      <w:r>
        <w:t>How to fill this in — column by column</w:t>
      </w:r>
    </w:p>
    <w:p>
      <w:r>
        <w:t>Review Month: Which cycle.</w:t>
      </w:r>
    </w:p>
    <w:p>
      <w:r>
        <w:t>Sampling Method: Systematic or other documented method.</w:t>
      </w:r>
    </w:p>
    <w:p>
      <w:r>
        <w:t>Sample Size / Active vs Discharged: Breakdown.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Information Management System chapter, standard IMS.6.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Review Month</w:t>
            </w:r>
          </w:p>
        </w:tc>
        <w:tc>
          <w:tcPr>
            <w:tcW w:type="dxa" w:w="2880"/>
          </w:tcPr>
          <w:p>
            <w:r>
              <w:t>Sampling Method</w:t>
            </w:r>
          </w:p>
        </w:tc>
        <w:tc>
          <w:tcPr>
            <w:tcW w:type="dxa" w:w="2880"/>
          </w:tcPr>
          <w:p>
            <w:r>
              <w:t>Sample Size / Active vs Discharged</w:t>
            </w:r>
          </w:p>
        </w:tc>
      </w:tr>
      <w:tr>
        <w:tc>
          <w:tcPr>
            <w:tcW w:type="dxa" w:w="2880"/>
            <w:shd w:val="clear" w:color="auto" w:fill="FFF2CC"/>
          </w:tcPr>
          <w:p>
            <w:r/>
          </w:p>
        </w:tc>
        <w:tc>
          <w:tcPr>
            <w:tcW w:type="dxa" w:w="2880"/>
            <w:shd w:val="clear" w:color="auto" w:fill="FFF2CC"/>
          </w:tcPr>
          <w:p>
            <w:r/>
          </w:p>
        </w:tc>
        <w:tc>
          <w:tcPr>
            <w:tcW w:type="dxa" w:w="2880"/>
            <w:shd w:val="clear" w:color="auto" w:fill="FFF2CC"/>
          </w:tcPr>
          <w:p>
            <w:r/>
          </w:p>
        </w:tc>
      </w:tr>
      <w:tr>
        <w:tc>
          <w:tcPr>
            <w:tcW w:type="dxa" w:w="2880"/>
            <w:shd w:val="clear" w:color="auto" w:fill="FFF2CC"/>
          </w:tcPr>
          <w:p>
            <w:r>
              <w:t>WORKED EXAMPLE — March 2026</w:t>
            </w:r>
          </w:p>
        </w:tc>
        <w:tc>
          <w:tcPr>
            <w:tcW w:type="dxa" w:w="2880"/>
            <w:shd w:val="clear" w:color="auto" w:fill="FFF2CC"/>
          </w:tcPr>
          <w:p>
            <w:r>
              <w:t>Systematic sampling from unique-identifier list</w:t>
            </w:r>
          </w:p>
        </w:tc>
        <w:tc>
          <w:tcPr>
            <w:tcW w:type="dxa" w:w="2880"/>
            <w:shd w:val="clear" w:color="auto" w:fill="FFF2CC"/>
          </w:tcPr>
          <w:p>
            <w:r>
              <w:t>12 total — 5 active, 7 discharged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