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Complete and Accurate Medical Record</w:t>
      </w:r>
    </w:p>
    <w:p>
      <w:r>
        <w:t>«Hospital Name» — SOP-IMS.2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SOP-IMS.2</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assigns one unique identifier to every medical record, keeps the record's contents organised and in time order, restricts who may write in it, requires every entry to carry a name, signature, date and time, and permits only a written list of approved abbreviations.</w:t>
            </w:r>
          </w:p>
        </w:tc>
      </w:tr>
    </w:tbl>
    <w:p/>
    <w:tbl>
      <w:tblPr>
        <w:tblStyle w:val="TableGrid"/>
        <w:tblW w:type="auto" w:w="0"/>
        <w:tblLook w:firstColumn="1" w:firstRow="1" w:lastColumn="0" w:lastRow="0" w:noHBand="0" w:noVBand="1" w:val="04A0"/>
      </w:tblPr>
      <w:tblGrid>
        <w:gridCol w:w="8640"/>
      </w:tblGrid>
      <w:tr>
        <w:tc>
          <w:tcPr>
            <w:tcW w:type="dxa" w:w="8640"/>
          </w:tcPr>
          <w:p>
            <w:r>
              <w:t>A chart has two different numbers on two different pages because a temporary identifier used during an emergency admission was never replaced -- and a lab result meant for one patient nearly gets filed under the other. This SOP exists so that one identifier, consistently applied, is what keeps every page of a record unmistakably tied to the right patient.</w:t>
            </w:r>
          </w:p>
        </w:tc>
      </w:tr>
    </w:tbl>
    <w:p/>
    <w:tbl>
      <w:tblPr>
        <w:tblStyle w:val="TableGrid"/>
        <w:tblW w:type="auto" w:w="0"/>
        <w:tblLook w:firstColumn="1" w:firstRow="1" w:lastColumn="0" w:lastRow="0" w:noHBand="0" w:noVBand="1" w:val="04A0"/>
      </w:tblPr>
      <w:tblGrid>
        <w:gridCol w:w="8640"/>
      </w:tblGrid>
      <w:tr>
        <w:tc>
          <w:tcPr>
            <w:tcW w:type="dxa" w:w="8640"/>
          </w:tcPr>
          <w:p>
            <w:r>
              <w:t>We do this because a medical record is only useful if the next clinician who opens it can trust that every page belongs to this patient, every entry happened when it says it did, and every entry was written by someone who can actually be identified and asked about it.</w:t>
            </w:r>
          </w:p>
        </w:tc>
      </w:tr>
    </w:tbl>
    <w:p/>
    <w:p>
      <w:r>
        <w:t>To define how «Hospital Name» assigns a unique identifier to every medical record; identifies and documents the contents so the record is a complete, up-to-date and chronological account of patient care; restricts entries to authorised staff whose identity can be established; requires every entry to be named, signed, dated and timed; and permits only authorised abbreviations.</w:t>
      </w:r>
    </w:p>
    <w:p>
      <w:pPr>
        <w:pStyle w:val="Heading1"/>
      </w:pPr>
      <w:r>
        <w:t>2. Scope</w:t>
      </w:r>
    </w:p>
    <w:p>
      <w:r>
        <w:t>so every person who writes in a medical record -- doctor, nurse, pharmacist, allied-health professional -- knows exactly what makes an entry acceptable, not just clinically correct.</w:t>
      </w:r>
    </w:p>
    <w:p>
      <w:r>
        <w:t>Applies to every medical record at «Hospital Name» and to every staff member authorised to write in one: treating doctors, nurses, the pharmacist for medication-reconciliation entries, named allied-health professionals, the Medical Superintendent and the Medical Records Officer. It covers the medical record's structure, who may write in it, and how an entry is authenticated. It does not cover the clinical content of any entry -- that stays with the relevant care SOP -- or the continuity-of-care items such as transfer and discharge-summary copies, which are set out in their own separate SOP in this chapter.</w:t>
      </w:r>
    </w:p>
    <w:p>
      <w:pPr>
        <w:pStyle w:val="Heading1"/>
      </w:pPr>
      <w:r>
        <w:t>3. Responsibility</w:t>
      </w:r>
    </w:p>
    <w:p>
      <w:r>
        <w:t>a record that nobody is named to check for the unique identifier, the contents list, or an authorised writer quietly accumulates exactly the gaps that make it unreliable later.</w:t>
      </w:r>
    </w:p>
    <w:p>
      <w:r>
        <w:rPr>
          <w:b/>
        </w:rPr>
        <w:t xml:space="preserve">Medical Records Officer: </w:t>
      </w:r>
      <w:r>
        <w:t>Confirms the unique identifier is consistent across the record; maintains the contents list and authorised-abbreviations list; investigates duplicate numbers.</w:t>
      </w:r>
    </w:p>
    <w:p>
      <w:r>
        <w:rPr>
          <w:b/>
        </w:rPr>
        <w:t xml:space="preserve">Medical Superintendent: </w:t>
      </w:r>
      <w:r>
        <w:t>Holds the list of staff categories authorised to write in the medical record; approves the authorised-abbreviations list.</w:t>
      </w:r>
    </w:p>
    <w:p>
      <w:r>
        <w:rPr>
          <w:b/>
        </w:rPr>
        <w:t xml:space="preserve">Treating Doctors / Nurses / Pharmacist / Allied-Health Professionals: </w:t>
      </w:r>
      <w:r>
        <w:t>Write entries only within their authorised scope; name, sign, date and time every entry; countersign verbal orders within the defined window.</w:t>
      </w:r>
    </w:p>
    <w:p>
      <w:r>
        <w:rPr>
          <w:b/>
        </w:rPr>
        <w:t xml:space="preserve">Students / Trainees: </w:t>
      </w:r>
      <w:r>
        <w:t>Write only under a named supervisor who countersigns.</w:t>
      </w:r>
    </w:p>
    <w:p>
      <w:pPr>
        <w:pStyle w:val="Heading1"/>
      </w:pPr>
      <w:r>
        <w:t>4. What to do</w:t>
      </w:r>
    </w:p>
    <w:p>
      <w:pPr>
        <w:pStyle w:val="Heading2"/>
      </w:pPr>
      <w:r>
        <w:t>Give every medical record one unique identifier, and keep it consistent on every page</w:t>
      </w:r>
    </w:p>
    <w:p>
      <w:r>
        <w:t>A record with two numbers on two different pages, or a temporary identifier from an emergency admission that was never corrected, is a record a future clinician can no longer fully trust belongs to one patient.</w:t>
      </w:r>
    </w:p>
    <w:p>
      <w:r>
        <w:t>A unique identifier is assigned to every medical record.</w:t>
      </w:r>
    </w:p>
    <w:p>
      <w:r>
        <w:t>The identifier is the unique identification number generated at the end of registration. The «Medical Records Officer» confirms that the same number appears on the record cover (paper) or the patient header (electronic health record), on every continuation sheet, and on every form filed in that record.</w:t>
      </w:r>
    </w:p>
    <w:p>
      <w:r>
        <w:t>A record without the unique identifier is not filed. A duplicate number is investigated the same working day it is noticed. A temporary or "unknown" identifier used for an unidentified patient in an emergency is replaced with the real registration number as soon as the patient's identity is established, and that replacement is recorded.</w:t>
      </w:r>
    </w:p>
    <w:p>
      <w:pPr>
        <w:pStyle w:val="Heading2"/>
      </w:pPr>
      <w:r>
        <w:t>Keep the record's contents organised and in true time order</w:t>
      </w:r>
    </w:p>
    <w:p>
      <w:r>
        <w:t>A record assembled only at discharge, or one where entries are not actually in the order they happened, cannot be read as a reliable account of what was actually done and when -- it becomes a reconstruction, not a record.</w:t>
      </w:r>
    </w:p>
    <w:p>
      <w:r>
        <w:t>The contents of the medical record are identified, documented and provide a complete, up-to-date and chronological account of patient care.</w:t>
      </w:r>
    </w:p>
    <w:p>
      <w:r>
        <w:t>«Hospital Name» keeps a written contents list for the medical record, naming the sections this hospital uses -- «face sheet, consent forms, initial assessment, progress notes, medication record, investigation reports, operative notes, nursing notes, and discharge or death documents». Forms are filed in that order, or the electronic health record is structured to the same list.</w:t>
      </w:r>
    </w:p>
    <w:p>
      <w:r>
        <w:t>Entries are chronological. A late entry is marked as late, timed at the actual time of writing, and cross-referenced to the event it describes. The record is updated as the episode happens, not assembled only at discharge.</w:t>
      </w:r>
    </w:p>
    <w:p>
      <w:pPr>
        <w:pStyle w:val="Heading2"/>
      </w:pPr>
      <w:r>
        <w:t>Only let authorised staff write in the record, and make sure every author can be identified</w:t>
      </w:r>
    </w:p>
    <w:p>
      <w:r>
        <w:t>A shared login or an unsupervised trainee's entry means nobody can say, with confidence, exactly who wrote what -- and that uncertainty undermines every entry in the record, not just the one in question.</w:t>
      </w:r>
    </w:p>
    <w:p>
      <w:r>
        <w:t>Authorised staff make the entry in the medical record, and the author of any entry can be identified.</w:t>
      </w:r>
    </w:p>
    <w:p>
      <w:r>
        <w:t>The «Medical Superintendent» holds a list of staff categories authorised to write in the medical record -- «treating doctors, nurses, the pharmacist for medication-reconciliation entries, and named allied-health professionals for their own notes». A person not on that list does not write in the record.</w:t>
      </w:r>
    </w:p>
    <w:p>
      <w:r>
        <w:t>Each author is identifiable: a printed name and designation with a signature on paper, or a unique user identity that is never shared, in the electronic health record. Shared logins are prohibited. A student or trainee writes only under a named supervisor who countersigns the entry.</w:t>
      </w:r>
    </w:p>
    <w:p>
      <w:pPr>
        <w:pStyle w:val="Heading2"/>
      </w:pPr>
      <w:r>
        <w:t>Name, sign, date and time every entry -- and correct mistakes the right way</w:t>
      </w:r>
    </w:p>
    <w:p>
      <w:r>
        <w:t>An unsigned, undated entry cannot be verified later -- and correction fluid or a deleted electronic entry with no trail destroys the very thing a medical record exists to preserve: an honest account of what actually happened.</w:t>
      </w:r>
    </w:p>
    <w:p>
      <w:r>
        <w:t>Every entry in the medical record is named, signed, dated and timed.</w:t>
      </w:r>
    </w:p>
    <w:p>
      <w:r>
        <w:t>The writer prints or types their name, signs (or authenticates electronically), and records the date and time of the entry, to the minute, using the «24-hour clock».</w:t>
      </w:r>
    </w:p>
    <w:p>
      <w:r>
        <w:t>A correction is made by a single line through the error, the word "error", the correct text, and the writer's name, signature, date and time. Correction fluid, obliteration, and deleting an electronic entry without an amendment trail are all prohibited.</w:t>
      </w:r>
    </w:p>
    <w:p>
      <w:r>
        <w:t>A verbal order is written by the receiving nurse, named, signed, dated and timed, and countersigned by the ordering doctor within «24 hours». The exact format a medication order has to follow is covered elsewhere; this step is only about authenticating the record entry itself.</w:t>
      </w:r>
    </w:p>
    <w:p>
      <w:pPr>
        <w:pStyle w:val="Heading2"/>
      </w:pPr>
      <w:r>
        <w:t>Use only approved abbreviations, and never a dangerous one</w:t>
      </w:r>
    </w:p>
    <w:p>
      <w:r>
        <w:t>An abbreviation that can be misread as a different dose or a different drug does not save time -- it creates exactly the kind of ambiguity a medical record exists to remove.</w:t>
      </w:r>
    </w:p>
    <w:p>
      <w:r>
        <w:t>The medical record has only authorised abbreviations.</w:t>
      </w:r>
    </w:p>
    <w:p>
      <w:r>
        <w:t>The «Medical Records Officer» holds the authorised-abbreviations list, approved by the Medical Superintendent. The list is available at every nursing station and in the electronic health record. An abbreviation not on the list is written out in full.</w:t>
      </w:r>
    </w:p>
    <w:p>
      <w:r>
        <w:t>A dangerous abbreviation -- one that can be read as a different dose or a different drug -- is never authorised. The list is reviewed «annually», or immediately if a near-miss linked to an abbreviation is reported through this hospital's incident-reporting process.</w:t>
      </w:r>
    </w:p>
    <w:p>
      <w:pPr>
        <w:pStyle w:val="Heading1"/>
      </w:pPr>
      <w:r>
        <w:t>5. Records</w:t>
      </w:r>
    </w:p>
    <w:p>
      <w:r>
        <w:t>This SOP produces and maintains Records 1-5 (see the IMS.2 Records folder).</w:t>
      </w:r>
    </w:p>
    <w:p>
      <w:pPr>
        <w:pStyle w:val="Heading1"/>
      </w:pPr>
      <w:r>
        <w:t>6. Related SOPs</w:t>
      </w:r>
    </w:p>
    <w:p>
      <w:pPr>
        <w:pStyle w:val="ListParagraph"/>
      </w:pPr>
      <w:r>
        <w:t>Hospital's Medical Record Reflects Continuity of Care SOP (IMS.3)</w:t>
      </w:r>
    </w:p>
    <w:p>
      <w:pPr>
        <w:pStyle w:val="ListParagraph"/>
      </w:pPr>
      <w:r>
        <w:t>Hospital's Regular Review of Medical Records SOP (IMS.6)</w:t>
      </w:r>
    </w:p>
    <w:p>
      <w:pPr>
        <w:pStyle w:val="ListParagraph"/>
      </w:pPr>
      <w:r>
        <w:t>Hospital's registration / unique identification SOP (AAC.2)</w:t>
      </w:r>
    </w:p>
    <w:p>
      <w:pPr>
        <w:pStyle w:val="Heading1"/>
      </w:pPr>
      <w:r>
        <w:t>7. Review</w:t>
      </w:r>
    </w:p>
    <w:p>
      <w:r>
        <w:t>This SOP is reviewed annually, or sooner if a duplicate-identifier investigation, a shared-login discovery, or a near-miss linked to an unauthorised abbreviation is reported, or if a related policy named above in this chapter is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Give every medical record one unique identifier, and keep it consistent on every page — IMS.2.a</w:t>
      </w:r>
    </w:p>
    <w:p>
      <w:pPr>
        <w:pStyle w:val="Heading2"/>
      </w:pPr>
      <w:r>
        <w:t>Keep the record's contents organised and in true time order — IMS.2.b (ASTERISKED)</w:t>
      </w:r>
    </w:p>
    <w:p>
      <w:r>
        <w:rPr>
          <w:i/>
        </w:rPr>
        <w:t>Boundary with other standards:</w:t>
      </w:r>
    </w:p>
    <w:p>
      <w:pPr>
        <w:pStyle w:val="ListParagraph"/>
      </w:pPr>
      <w:r>
        <w:t>• The specific continuity-of-care items this structure must contain (admission reason, transfer details, discharge-summary copy, and so on) are owned by IMS.3; this step owns the structure and chronological discipline itself.</w:t>
      </w:r>
    </w:p>
    <w:p>
      <w:pPr>
        <w:pStyle w:val="Heading2"/>
      </w:pPr>
      <w:r>
        <w:t>Only let authorised staff write in the record, and make sure every author can be identified — IMS.2.c</w:t>
      </w:r>
    </w:p>
    <w:p>
      <w:pPr>
        <w:pStyle w:val="Heading2"/>
      </w:pPr>
      <w:r>
        <w:t>Name, sign, date and time every entry -- and correct mistakes the right way — IMS.2.d</w:t>
      </w:r>
    </w:p>
    <w:p>
      <w:r>
        <w:rPr>
          <w:i/>
        </w:rPr>
        <w:t>Boundary with other standards:</w:t>
      </w:r>
    </w:p>
    <w:p>
      <w:pPr>
        <w:pStyle w:val="ListParagraph"/>
      </w:pPr>
      <w:r>
        <w:t>• The medication-order format itself is owned by MOM.4; this step owns the authentication (name/signature/date/time) of the record entry that carries it.</w:t>
      </w:r>
    </w:p>
    <w:p>
      <w:pPr>
        <w:pStyle w:val="Heading2"/>
      </w:pPr>
      <w:r>
        <w:t>Use only approved abbreviations, and never a dangerous one — IMS.2.e</w:t>
      </w:r>
    </w:p>
    <w:p>
      <w:r>
        <w:rPr>
          <w:i/>
        </w:rPr>
        <w:t>Boundary with other standards:</w:t>
      </w:r>
    </w:p>
    <w:p>
      <w:pPr>
        <w:pStyle w:val="ListParagraph"/>
      </w:pPr>
      <w:r>
        <w:t>• A sample of records is checked against this list as part of the periodic medical-record review owned by IMS.6.</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Information Management System chapter, standard IMS.2.</w:t>
      </w:r>
    </w:p>
    <w:p>
      <w:pPr>
        <w:pStyle w:val="ListParagraph"/>
      </w:pPr>
      <w:r>
        <w:t xml:space="preserve">• </w:t>
      </w:r>
      <w:r>
        <w:t xml:space="preserve">Ministry of Health and Family Welfare, Government of India. (2016). </w:t>
      </w:r>
      <w:hyperlink r:id="rId10">
        <w:r>
          <w:rPr>
            <w:color w:val="0563C1"/>
            <w:u w:val="single"/>
          </w:rPr>
          <w:t>Electronic Health Record (EHR) Standards for India</w:t>
        </w:r>
      </w:hyperlink>
      <w:r>
        <w:t>. New Delhi: MoHFW -- guidance this hospital's record-structure and data-standardisation steps are built on, cited as guidance, not as a copied statute.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 Id="rId10" Type="http://schemas.openxmlformats.org/officeDocument/2006/relationships/hyperlink" Target="https://esanjeevani.mohfw.gov.in/assets/guidelines/ehr_guidlin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