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spacing w:after="140"/>
      </w:pPr>
      <w:r>
        <w:rPr>
          <w:sz w:val="22"/>
          <w:szCs w:val="22"/>
        </w:rPr>
        <w:t xml:space="preserve">The chapter intent is that care is continuous, coordinated and safely handed over.</w:t>
      </w:r>
    </w:p>
    <w:p>
      <w:pPr>
        <w:spacing w:after="140"/>
      </w:pPr>
      <w:r>
        <w:rPr>
          <w:sz w:val="22"/>
          <w:szCs w:val="22"/>
        </w:rPr>
        <w:t xml:space="preserve">This policy owns continuity and handover. AAC.2 owns registration, admission and transfer in/out of the hospital. AAC.3 owns assessment and care planning. AAC.8 owns discharge. PRE owns patient consent for transfer (PRE.3).</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spacing w:after="140"/>
      </w:pPr>
      <w:r>
        <w:rPr>
          <w:sz w:val="22"/>
          <w:szCs w:val="22"/>
        </w:rPr>
        <w:t xml:space="preserve">Boundaries:</w:t>
      </w:r>
    </w:p>
    <w:p>
      <w:pPr>
        <w:pStyle w:val="ListParagraph"/>
        <w:numPr>
          <w:ilvl w:val="0"/>
          <w:numId w:val="1"/>
        </w:numPr>
        <w:spacing w:after="60"/>
      </w:pPr>
      <w:r>
        <w:rPr>
          <w:sz w:val="22"/>
          <w:szCs w:val="22"/>
        </w:rPr>
        <w:t xml:space="preserve">AAC.2 owns transfer-in and transfer-out of the hospital. This policy owns transfer within the hospital (ward to ward, department to department, floor to floor).</w:t>
      </w:r>
    </w:p>
    <w:p>
      <w:pPr>
        <w:pStyle w:val="ListParagraph"/>
        <w:numPr>
          <w:ilvl w:val="0"/>
          <w:numId w:val="1"/>
        </w:numPr>
        <w:spacing w:after="60"/>
      </w:pPr>
      <w:r>
        <w:rPr>
          <w:sz w:val="22"/>
          <w:szCs w:val="22"/>
        </w:rPr>
        <w:t xml:space="preserve">PRE.3 owns consent. This policy owns the clinical handover that accompanies a transfer.</w:t>
      </w:r>
    </w:p>
    <w:p>
      <w:pPr>
        <w:pStyle w:val="ListParagraph"/>
        <w:numPr>
          <w:ilvl w:val="0"/>
          <w:numId w:val="1"/>
        </w:numPr>
        <w:spacing w:after="60"/>
      </w:pPr>
      <w:r>
        <w:rPr>
          <w:sz w:val="22"/>
          <w:szCs w:val="22"/>
        </w:rPr>
        <w:t xml:space="preserve">AAC.3 owns the care plan. This policy owns that the care plan information is shared during handover.</w:t>
      </w:r>
    </w:p>
    <w:p>
      <w:pPr>
        <w:pStyle w:val="ListParagraph"/>
        <w:numPr>
          <w:ilvl w:val="0"/>
          <w:numId w:val="1"/>
        </w:numPr>
        <w:spacing w:after="60"/>
      </w:pPr>
      <w:r>
        <w:rPr>
          <w:sz w:val="22"/>
          <w:szCs w:val="22"/>
        </w:rPr>
        <w:t xml:space="preserve">HIC owns infection-control precautions during transfer. This policy owns the transfer process.</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 xml:space="preserve">Root-cause analysis is required when the same handover or continuity defect recurs within six months.</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CAPA — corrective and preventive action
EWS — early warning score
NABH — National Accreditation Board for Hospitals and Healthcare Providers
OE — objective element
PRE — Patient Rights and Education (NABH SHCO chapter 4)
SBAR — Situation, Background, Assessment, Recommendation
SHCO — Standards for Small Healthcare Organisations</w:t>
      </w:r>
    </w:p>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