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Clinical Areas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 xml:space="preserve">It covers the seven elements HIC.2.a–g name: standard precautions, hand hygiene, transmission-based precautions, safe injection/infusion, antimicrobial usage policy, monitoring rational use, and antibiotic stewardship.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committee structure and resources.</w:t>
      </w:r>
    </w:p>
    <w:p>
      <w:pPr>
        <w:pStyle w:val="ListParagraph"/>
        <w:numPr>
          <w:ilvl w:val="0"/>
          <w:numId w:val="1"/>
        </w:numPr>
        <w:spacing w:after="60"/>
      </w:pPr>
      <w:r>
        <w:rPr>
          <w:sz w:val="22"/>
          <w:szCs w:val="22"/>
        </w:rPr>
        <w:t xml:space="preserve">HIC.3 owns support-service infection control (housekeeping, BMW, laundry, kitchen, engineering).</w:t>
      </w:r>
    </w:p>
    <w:p>
      <w:pPr>
        <w:pStyle w:val="ListParagraph"/>
        <w:numPr>
          <w:ilvl w:val="0"/>
          <w:numId w:val="1"/>
        </w:numPr>
        <w:spacing w:after="60"/>
      </w:pPr>
      <w:r>
        <w:rPr>
          <w:sz w:val="22"/>
          <w:szCs w:val="22"/>
        </w:rPr>
        <w:t xml:space="preserve">HIC.4 owns prevention of specific HAI (CAUTI, VAP, CLABSI, SSI) and occupational safety.</w:t>
      </w:r>
    </w:p>
    <w:p>
      <w:pPr>
        <w:pStyle w:val="ListParagraph"/>
        <w:numPr>
          <w:ilvl w:val="0"/>
          <w:numId w:val="1"/>
        </w:numPr>
        <w:spacing w:after="60"/>
      </w:pPr>
      <w:r>
        <w:rPr>
          <w:sz w:val="22"/>
          <w:szCs w:val="22"/>
        </w:rPr>
        <w:t xml:space="preserve">HIC.5 owns surveillance including hand-hygiene compliance monitoring.</w:t>
      </w:r>
    </w:p>
    <w:p>
      <w:pPr>
        <w:pStyle w:val="ListParagraph"/>
        <w:numPr>
          <w:ilvl w:val="0"/>
          <w:numId w:val="1"/>
        </w:numPr>
        <w:spacing w:after="60"/>
      </w:pPr>
      <w:r>
        <w:rPr>
          <w:sz w:val="22"/>
          <w:szCs w:val="22"/>
        </w:rPr>
        <w:t xml:space="preserve">HIC.6 owns sterilisation and disinfection of instruments and devices.</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 xml:space="preserve">Safe waste management (cross-reference HIC.3.d).</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 xml:space="preserve">Hand-hygiene compliance is monitored under HIC.5.b.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 xml:space="preserve">Airborne precautions: N95 respirator; negative-pressure room where available (HIC.1.f);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 xml:space="preserve">Hand-hygiene compliance rates (data from HIC.5.b).</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ABHR — alcohol-based hand rub
ASP — antibiotic stewardship programme
CAPA — corrective and preventive action
DDD — defined daily dose
DOT — days of therapy
HAI — healthcare-associated infection
HIC — Hospital Infection Prevention and Control (NABH SHCO chapter)
ICMR — Indian Council of Medical Research
NABH — National Accreditation Board for Hospitals and Healthcare Providers
OE — objective element
PPE — personal protective equipment
SHCO — Standards for Small Healthcare Organisations
WHO — World Health Organization</w:t>
      </w:r>
    </w:p>
    <w:p>
      <w:pPr>
        <w:pStyle w:val="Heading1"/>
        <w:spacing w:after="120" w:before="280"/>
      </w:pPr>
      <w:r>
        <w:t>11. Traceability to NABH SHCO 3rd Edition HIC.2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HIC/POL/02  |  Controlled document  |  Policy on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