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Multidisciplinary Committee Guides Pharmacy Services and Medication Management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 multidisciplinary committee governs the formulary, pharmacy services and medication usage — so that medication decisions are clinically led, not left to ad-hoc purchasing.</w:t>
      </w:r>
    </w:p>
    <w:p>
      <w:pPr>
        <w:pStyle w:val="Heading1"/>
        <w:spacing w:after="120" w:before="280"/>
      </w:pPr>
      <w:r>
        <w:t xml:space="preserve">1. Purpose</w:t>
      </w:r>
    </w:p>
    <w:p>
      <w:pPr>
        <w:spacing w:after="140"/>
      </w:pPr>
      <w:r>
        <w:rPr>
          <w:sz w:val="22"/>
          <w:szCs w:val="22"/>
        </w:rPr>
        <w:t xml:space="preserve">This policy describes how «Hospital Name» establishes and maintains a formulary, governs pharmacy services through a multidisciplinary committee, acquires medications inside and outside the formulary, provides medication access when the pharmacy is closed, includes implantable prostheses and medical devices in the committee's scope, and monitors clinician adherence to the formulary.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Multidisciplinary Medication Committee (Pharmacy and Therapeutics Committee), pharmacy staff, treating doctors (prescribers), nurses, the Medical Superintendent and Quality Coordinator at «Hospital Name».</w:t>
      </w:r>
    </w:p>
    <w:p>
      <w:pPr>
        <w:spacing w:after="140"/>
      </w:pPr>
      <w:r>
        <w:rPr>
          <w:sz w:val="22"/>
          <w:szCs w:val="22"/>
        </w:rPr>
        <w:t xml:space="preserve">It covers MOM.1.a–f: formulary development; committee governance of pharmacy services; acquisition of formulary and non-formulary medications; medication access when the pharmacy is closed; implantable prostheses and medical devices; and clinician adherence to the formulary.</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MOM.1.e lists implantable prostheses and medical devices in the committee's scope. MOM.9 owns the detailed guidance on procurement, counselling and traceability of implants.</w:t>
      </w:r>
    </w:p>
    <w:p>
      <w:pPr>
        <w:pStyle w:val="ListParagraph"/>
        <w:numPr>
          <w:ilvl w:val="0"/>
          <w:numId w:val="1"/>
        </w:numPr>
        <w:spacing w:after="60"/>
      </w:pPr>
      <w:r>
        <w:rPr>
          <w:sz w:val="22"/>
          <w:szCs w:val="22"/>
        </w:rPr>
        <w:t xml:space="preserve">Medication storage is MOM.2. Prescribing is MOM.3. Dispensing is MOM.5. Administration is MOM.6.</w:t>
      </w:r>
    </w:p>
    <w:p>
      <w:pPr>
        <w:pStyle w:val="ListParagraph"/>
        <w:numPr>
          <w:ilvl w:val="0"/>
          <w:numId w:val="1"/>
        </w:numPr>
        <w:spacing w:after="60"/>
      </w:pPr>
      <w:r>
        <w:rPr>
          <w:sz w:val="22"/>
          <w:szCs w:val="22"/>
        </w:rPr>
        <w:t xml:space="preserve">Safe use of narcotics, chemotherapeutic and radioactive agents is MOM.8.</w:t>
      </w:r>
    </w:p>
    <w:p>
      <w:pPr>
        <w:pStyle w:val="Heading1"/>
        <w:spacing w:after="120" w:before="280"/>
      </w:pPr>
      <w:r>
        <w:t xml:space="preserve">3. Policy standards</w:t>
      </w:r>
    </w:p>
    <w:p>
      <w:pPr>
        <w:spacing w:after="140"/>
      </w:pPr>
      <w:r>
        <w:rPr>
          <w:sz w:val="22"/>
          <w:szCs w:val="22"/>
        </w:rPr>
        <w:t xml:space="preserve">«Hospital Name» develops and maintains a formulary appropriate for its patient population and scope of services.</w:t>
      </w:r>
    </w:p>
    <w:p>
      <w:pPr>
        <w:spacing w:after="140"/>
      </w:pPr>
      <w:r>
        <w:rPr>
          <w:sz w:val="22"/>
          <w:szCs w:val="22"/>
        </w:rPr>
        <w:t xml:space="preserve">«Hospital Name» governs pharmacy services and medication usage through the Multidisciplinary Medication Committee, not by individual decision.</w:t>
      </w:r>
    </w:p>
    <w:p>
      <w:pPr>
        <w:spacing w:after="140"/>
      </w:pPr>
      <w:r>
        <w:rPr>
          <w:sz w:val="22"/>
          <w:szCs w:val="22"/>
        </w:rPr>
        <w:t xml:space="preserve">«Hospital Name» follows written procedures for acquisition of formulary and non-formulary medications, access when the pharmacy is closed, and the inclusion of implantable prostheses and medical devices in the committee's oversight.</w:t>
      </w:r>
    </w:p>
    <w:p>
      <w:pPr>
        <w:spacing w:after="140"/>
      </w:pPr>
      <w:r>
        <w:rPr>
          <w:sz w:val="22"/>
          <w:szCs w:val="22"/>
        </w:rPr>
        <w:t xml:space="preserve">Clinicians adhere to the current formulary. Exceptions are documented through the non-formulary acquisition procedure.</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The formulary is reviewed at least «annually» by the Multidisciplinary Medication Committee.</w:t>
      </w:r>
    </w:p>
    <w:p>
      <w:pPr>
        <w:spacing w:after="80"/>
      </w:pPr>
      <w:r>
        <w:rPr>
          <w:sz w:val="22"/>
          <w:szCs w:val="22"/>
        </w:rPr>
        <w:t xml:space="preserve">2. No medication is routinely stocked unless it appears in the approved formulary or is acquired through the non-formulary procedure.</w:t>
      </w:r>
    </w:p>
    <w:p>
      <w:pPr>
        <w:spacing w:after="80"/>
      </w:pPr>
      <w:r>
        <w:rPr>
          <w:sz w:val="22"/>
          <w:szCs w:val="22"/>
        </w:rPr>
        <w:t xml:space="preserve">3. The non-formulary acquisition procedure is documented and followed every time — verbal agreements are not a substitute.</w:t>
      </w:r>
    </w:p>
    <w:p>
      <w:pPr>
        <w:spacing w:after="80"/>
      </w:pPr>
      <w:r>
        <w:rPr>
          <w:sz w:val="22"/>
          <w:szCs w:val="22"/>
        </w:rPr>
        <w:t xml:space="preserve">4. When the pharmacy is closed, the procedure for emergency medication access is followed; medications are not taken from the pharmacy without documentation.</w:t>
      </w:r>
    </w:p>
    <w:p>
      <w:pPr>
        <w:spacing w:after="80"/>
      </w:pPr>
      <w:r>
        <w:rPr>
          <w:sz w:val="22"/>
          <w:szCs w:val="22"/>
        </w:rPr>
        <w:t xml:space="preserve">5. Implantable prostheses and medical devices are included in the committee's scope per MOM.1.e; detailed guidance is MOM.9.</w:t>
      </w:r>
    </w:p>
    <w:p>
      <w:pPr>
        <w:spacing w:after="80"/>
      </w:pPr>
      <w:r>
        <w:rPr>
          <w:sz w:val="22"/>
          <w:szCs w:val="22"/>
        </w:rPr>
        <w:t xml:space="preserve">6. Clinicians prescribe from the current formulary; off-formulary prescribing follows the documented acquisition procedure.</w:t>
      </w:r>
    </w:p>
    <w:p>
      <w:pPr>
        <w:spacing w:after="140"/>
      </w:pPr>
      <w:r>
        <w:rPr>
          <w:sz w:val="22"/>
          <w:szCs w:val="22"/>
        </w:rPr>
        <w:t xml:space="preserve">Staff who see a breach report it the same shift to the «Pharmacy In-Charge» or the «Medical Superintendent».</w:t>
      </w:r>
    </w:p>
    <w:p>
      <w:pPr>
        <w:pStyle w:val="Heading1"/>
        <w:spacing w:after="120" w:before="280"/>
      </w:pPr>
      <w:r>
        <w:t xml:space="preserve">5. What we do</w:t>
      </w:r>
    </w:p>
    <w:p>
      <w:pPr>
        <w:pStyle w:val="Heading2"/>
        <w:spacing w:after="100" w:before="220"/>
      </w:pPr>
      <w:r>
        <w:t xml:space="preserve">5.1 Formulary development and maintenance</w:t>
      </w:r>
    </w:p>
    <w:p>
      <w:pPr>
        <w:spacing w:after="140"/>
      </w:pPr>
      <w:r>
        <w:rPr>
          <w:sz w:val="22"/>
          <w:szCs w:val="22"/>
        </w:rPr>
        <w:t xml:space="preserve">The Multidisciplinary Medication Committee develops, updates and implements a list of medications appropriate for the patients and the scope of clinical services at «Hospital Name».</w:t>
      </w:r>
    </w:p>
    <w:p>
      <w:pPr>
        <w:spacing w:after="140"/>
      </w:pPr>
      <w:r>
        <w:rPr>
          <w:sz w:val="22"/>
          <w:szCs w:val="22"/>
        </w:rPr>
        <w:t xml:space="preserve">The formulary is reviewed at least «annually» and whenever a new clinical service is added or a drug-safety alert warrants a change. The committee records additions, deletions and the clinical rationale.</w:t>
      </w:r>
    </w:p>
    <w:p>
      <w:pPr>
        <w:spacing w:after="140"/>
      </w:pPr>
      <w:r>
        <w:rPr>
          <w:sz w:val="22"/>
          <w:szCs w:val="22"/>
        </w:rPr>
        <w:t xml:space="preserve">The formulary is available to all prescribers at «the pharmacy counter and, if the hospital keeps an intranet, on the staff intranet».</w:t>
      </w:r>
    </w:p>
    <w:p>
      <w:pPr>
        <w:pStyle w:val="Heading2"/>
        <w:spacing w:after="100" w:before="220"/>
      </w:pPr>
      <w:r>
        <w:t xml:space="preserve">5.2 Committee governance of pharmacy services</w:t>
      </w:r>
    </w:p>
    <w:p>
      <w:pPr>
        <w:spacing w:after="140"/>
      </w:pPr>
      <w:r>
        <w:rPr>
          <w:sz w:val="22"/>
          <w:szCs w:val="22"/>
        </w:rPr>
        <w:t xml:space="preserve">Pharmacy services and medication usage are implemented following written guidance through the Multidisciplinary Medication Committee.</w:t>
      </w:r>
    </w:p>
    <w:p>
      <w:pPr>
        <w:spacing w:after="140"/>
      </w:pPr>
      <w:r>
        <w:rPr>
          <w:sz w:val="22"/>
          <w:szCs w:val="22"/>
        </w:rPr>
        <w:t xml:space="preserve">The committee meets at least «quarterly» and includes at a minimum: «Medical Superintendent (or delegate), a treating doctor, the Pharmacy In-Charge, and a nursing representative». Minutes are kept and include decisions, action items and deadlines.</w:t>
      </w:r>
    </w:p>
    <w:p>
      <w:pPr>
        <w:spacing w:after="140"/>
      </w:pPr>
      <w:r>
        <w:rPr>
          <w:sz w:val="22"/>
          <w:szCs w:val="22"/>
        </w:rPr>
        <w:t xml:space="preserve">The committee reviews medication-usage data, adverse drug reactions, medication errors and near-miss trends reported under MOM.7, and recommends changes to formulary, storage, prescribing or dispensing practices.</w:t>
      </w:r>
    </w:p>
    <w:p>
      <w:pPr>
        <w:pStyle w:val="Heading2"/>
        <w:spacing w:after="100" w:before="220"/>
      </w:pPr>
      <w:r>
        <w:t xml:space="preserve">5.3 Acquisition of formulary and non-formulary medications</w:t>
      </w:r>
    </w:p>
    <w:p>
      <w:pPr>
        <w:spacing w:after="140"/>
      </w:pPr>
      <w:r>
        <w:rPr>
          <w:sz w:val="22"/>
          <w:szCs w:val="22"/>
        </w:rPr>
        <w:t xml:space="preserve">«Hospital Name» adheres to the procedure for the acquisition of formulary medications and medications not listed in the formulary.</w:t>
      </w:r>
    </w:p>
    <w:p>
      <w:pPr>
        <w:spacing w:after="140"/>
      </w:pPr>
      <w:r>
        <w:rPr>
          <w:sz w:val="22"/>
          <w:szCs w:val="22"/>
        </w:rPr>
        <w:t xml:space="preserve">Formulary medications are procured through the pharmacy from «approved suppliers licensed under the Drugs and Cosmetics Act, 1940». The Pharmacy In-Charge maintains supplier records and verifies batch, expiry and storage conditions on receipt.</w:t>
      </w:r>
    </w:p>
    <w:p>
      <w:pPr>
        <w:spacing w:after="140"/>
      </w:pPr>
      <w:r>
        <w:rPr>
          <w:sz w:val="22"/>
          <w:szCs w:val="22"/>
        </w:rPr>
        <w:t xml:space="preserve">Non-formulary medications are acquired only with a written request from the prescribing doctor, reviewed and approved by «the Pharmacy In-Charge or a committee member», and documented in the non-formulary register. Emergency non-formulary requests follow the same documentation but may be approved retrospectively within «24 hours».</w:t>
      </w:r>
    </w:p>
    <w:p>
      <w:pPr>
        <w:pStyle w:val="Heading2"/>
        <w:spacing w:after="100" w:before="220"/>
      </w:pPr>
      <w:r>
        <w:t xml:space="preserve">5.4 Medication access when the pharmacy is closed</w:t>
      </w:r>
    </w:p>
    <w:p>
      <w:pPr>
        <w:spacing w:after="140"/>
      </w:pPr>
      <w:r>
        <w:rPr>
          <w:sz w:val="22"/>
          <w:szCs w:val="22"/>
        </w:rPr>
        <w:t xml:space="preserve">There is a procedure to obtain medication when the pharmacy is closed.</w:t>
      </w:r>
    </w:p>
    <w:p>
      <w:pPr>
        <w:spacing w:after="140"/>
      </w:pPr>
      <w:r>
        <w:rPr>
          <w:sz w:val="22"/>
          <w:szCs w:val="22"/>
        </w:rPr>
        <w:t xml:space="preserve">«Hospital Name» maintains «a night cupboard / emergency medication stock on each in-patient floor» accessible to the duty nurse. The stock list is defined by the committee and matches MOM.2.e (emergency medications).</w:t>
      </w:r>
    </w:p>
    <w:p>
      <w:pPr>
        <w:spacing w:after="140"/>
      </w:pPr>
      <w:r>
        <w:rPr>
          <w:sz w:val="22"/>
          <w:szCs w:val="22"/>
        </w:rPr>
        <w:t xml:space="preserve">The duty nurse documents every withdrawal against the patient's name and medication order. The Pharmacy In-Charge reconciles withdrawals the next working day. Missing or unreconciled items trigger an incident report under MOM.7.</w:t>
      </w:r>
    </w:p>
    <w:p>
      <w:pPr>
        <w:pStyle w:val="Heading2"/>
        <w:spacing w:after="100" w:before="220"/>
      </w:pPr>
      <w:r>
        <w:t xml:space="preserve">5.5 Implantable prostheses and medical devices</w:t>
      </w:r>
    </w:p>
    <w:p>
      <w:pPr>
        <w:spacing w:after="140"/>
      </w:pPr>
      <w:r>
        <w:rPr>
          <w:sz w:val="22"/>
          <w:szCs w:val="22"/>
        </w:rPr>
        <w:t xml:space="preserve">Implantable prostheses and medical devices are used in accordance with laid-down criteria and are within the committee's scope.</w:t>
      </w:r>
    </w:p>
    <w:p>
      <w:pPr>
        <w:spacing w:after="140"/>
      </w:pPr>
      <w:r>
        <w:rPr>
          <w:sz w:val="22"/>
          <w:szCs w:val="22"/>
        </w:rPr>
        <w:t xml:space="preserve">The committee defines which implantable prostheses and medical devices are approved for use at «Hospital Name». Criteria include clinical indication, supplier qualification, batch traceability and cost disclosure.</w:t>
      </w:r>
    </w:p>
    <w:p>
      <w:pPr>
        <w:spacing w:after="140"/>
      </w:pPr>
      <w:r>
        <w:rPr>
          <w:sz w:val="22"/>
          <w:szCs w:val="22"/>
        </w:rPr>
        <w:t xml:space="preserve">Detailed guidance on procurement, patient and family counselling, and traceability of implants is in MOM.9. This step ensures the committee has oversight; MOM.9 owns the operational detail.</w:t>
      </w:r>
    </w:p>
    <w:p>
      <w:pPr>
        <w:pStyle w:val="Heading2"/>
        <w:spacing w:after="100" w:before="220"/>
      </w:pPr>
      <w:r>
        <w:t xml:space="preserve">5.6 Clinician adherence to the formulary</w:t>
      </w:r>
    </w:p>
    <w:p>
      <w:pPr>
        <w:spacing w:after="140"/>
      </w:pPr>
      <w:r>
        <w:rPr>
          <w:sz w:val="22"/>
          <w:szCs w:val="22"/>
        </w:rPr>
        <w:t xml:space="preserve">Clinicians adhere to the current formulary.</w:t>
      </w:r>
    </w:p>
    <w:p>
      <w:pPr>
        <w:spacing w:after="140"/>
      </w:pPr>
      <w:r>
        <w:rPr>
          <w:sz w:val="22"/>
          <w:szCs w:val="22"/>
        </w:rPr>
        <w:t xml:space="preserve">Prescribers are expected to prescribe from the current formulary. The Pharmacy In-Charge flags off-formulary prescriptions to the prescriber and records them.</w:t>
      </w:r>
    </w:p>
    <w:p>
      <w:pPr>
        <w:spacing w:after="140"/>
      </w:pPr>
      <w:r>
        <w:rPr>
          <w:sz w:val="22"/>
          <w:szCs w:val="22"/>
        </w:rPr>
        <w:t xml:space="preserve">The committee reviews adherence data «quarterly» and takes action where off-formulary prescribing is frequent or unjustified. Action may include education, formulary revision, or restriction.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committee constitution and that pharmacy services follow written guidance.</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Develops and maintains the formulary; governs pharmacy services and medication usage; reviews adherence, incidents and trends.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committee decisions; manages formulary stock, non-formulary acquisition and after-hours reconciliation.</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Prescribe from the current formulary; follow non-formulary acquisition procedure when needed.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Follow the after-hours medication access procedure; document withdrawals.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committee decisions are not implemented.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committee records and pharmacy operations.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Formulary currency: last review date, additions or deletions and rationale.</w:t>
      </w:r>
    </w:p>
    <w:p>
      <w:pPr>
        <w:pStyle w:val="ListParagraph"/>
        <w:numPr>
          <w:ilvl w:val="0"/>
          <w:numId w:val="1"/>
        </w:numPr>
        <w:spacing w:after="60"/>
      </w:pPr>
      <w:r>
        <w:rPr>
          <w:sz w:val="22"/>
          <w:szCs w:val="22"/>
        </w:rPr>
        <w:t xml:space="preserve">Committee meeting minutes and attendance.</w:t>
      </w:r>
    </w:p>
    <w:p>
      <w:pPr>
        <w:pStyle w:val="ListParagraph"/>
        <w:numPr>
          <w:ilvl w:val="0"/>
          <w:numId w:val="1"/>
        </w:numPr>
        <w:spacing w:after="60"/>
      </w:pPr>
      <w:r>
        <w:rPr>
          <w:sz w:val="22"/>
          <w:szCs w:val="22"/>
        </w:rPr>
        <w:t xml:space="preserve">Non-formulary acquisition register: completeness of documentation.</w:t>
      </w:r>
    </w:p>
    <w:p>
      <w:pPr>
        <w:pStyle w:val="ListParagraph"/>
        <w:numPr>
          <w:ilvl w:val="0"/>
          <w:numId w:val="1"/>
        </w:numPr>
        <w:spacing w:after="60"/>
      </w:pPr>
      <w:r>
        <w:rPr>
          <w:sz w:val="22"/>
          <w:szCs w:val="22"/>
        </w:rPr>
        <w:t xml:space="preserve">After-hours withdrawal reconciliation and any unreconciled items.</w:t>
      </w:r>
    </w:p>
    <w:p>
      <w:pPr>
        <w:pStyle w:val="ListParagraph"/>
        <w:numPr>
          <w:ilvl w:val="0"/>
          <w:numId w:val="1"/>
        </w:numPr>
        <w:spacing w:after="60"/>
      </w:pPr>
      <w:r>
        <w:rPr>
          <w:sz w:val="22"/>
          <w:szCs w:val="22"/>
        </w:rPr>
        <w:t xml:space="preserve">Implant list maintained under committee oversight (MOM.9 detail).</w:t>
      </w:r>
    </w:p>
    <w:p>
      <w:pPr>
        <w:pStyle w:val="ListParagraph"/>
        <w:numPr>
          <w:ilvl w:val="0"/>
          <w:numId w:val="1"/>
        </w:numPr>
        <w:spacing w:after="60"/>
      </w:pPr>
      <w:r>
        <w:rPr>
          <w:sz w:val="22"/>
          <w:szCs w:val="22"/>
        </w:rPr>
        <w:t xml:space="preserve">Formulary adherence data and committee action on off-formulary prescribing.</w:t>
      </w:r>
    </w:p>
    <w:p>
      <w:pPr>
        <w:spacing w:after="140"/>
      </w:pPr>
      <w:r>
        <w:rPr>
          <w:sz w:val="22"/>
          <w:szCs w:val="22"/>
        </w:rPr>
        <w:t xml:space="preserve">Root-cause analysis is required when the same lapse recurs within six months.</w:t>
      </w:r>
    </w:p>
    <w:p>
      <w:pPr>
        <w:spacing w:after="140"/>
      </w:pPr>
      <w:r>
        <w:rPr>
          <w:sz w:val="22"/>
          <w:szCs w:val="22"/>
        </w:rPr>
        <w:t xml:space="preserve">This policy is reviewed «annually», and sooner when MOM.2–MOM.9 or the scope of clinical services changes.</w:t>
      </w:r>
    </w:p>
    <w:p>
      <w:pPr>
        <w:pStyle w:val="Heading1"/>
        <w:spacing w:after="120" w:before="280"/>
      </w:pPr>
      <w:r>
        <w:t xml:space="preserve">8. Training and staff acknowledgement</w:t>
      </w:r>
    </w:p>
    <w:p>
      <w:pPr>
        <w:spacing w:after="140"/>
      </w:pPr>
      <w:r>
        <w:rPr>
          <w:sz w:val="22"/>
          <w:szCs w:val="22"/>
        </w:rPr>
        <w:t xml:space="preserve">All pharmacy staff, prescribers and nursing staff are trained on this policy at induction and «once a year» after that. Training covers the formulary, non-formulary procedure, after-hours access, and reporting.</w:t>
      </w:r>
    </w:p>
    <w:p>
      <w:pPr>
        <w:spacing w:after="140"/>
      </w:pPr>
      <w:r>
        <w:rPr>
          <w:sz w:val="22"/>
          <w:szCs w:val="22"/>
        </w:rPr>
        <w:t xml:space="preserve">Staff acknowledgement</w:t>
      </w:r>
    </w:p>
    <w:p>
      <w:pPr>
        <w:spacing w:after="140"/>
      </w:pPr>
      <w:r>
        <w:rPr>
          <w:sz w:val="22"/>
          <w:szCs w:val="22"/>
        </w:rPr>
        <w:t xml:space="preserve">I have read this Multidisciplinary Committee Guides Pharmacy Services and Medication Management policy of «Hospital Name». I will prescribe from the formulary, follow acquisition procedures and report breaches.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develops, updates and implements a list of medications appropriate for the patients and as per the scope of the organisation's clinical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Formulary development and maintenance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(develop); Pharmacy In-Charge (implement)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Pharmacy services and medication usage are implemented following written guidance through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Committee governance of pharmacy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(govern); Medical Superintendent (constitute)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procedure for the acquisition of formulary medications and medications not listed in the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2–3; 5.3 Acquisition of formulary and non-formulary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(procure and verify); prescriber (non-formulary request); committee member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to obtain medication when the pharmacy is closed.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5.4 Medication access when the pharmacy is closed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Duty nurse (withdraw and document); Pharmacy In-Charge (reconcile next working day)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Implantable prosthesis and medical devices are used in accordance with laid down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Implantable prostheses and medical devices; MOM.9 (detail)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(criteria and oversight); MOM.9 (operational detail)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clinicians adhere to the current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6; 5.6 Clinician adherence to the formulary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(adhere); Pharmacy In-Charge (flag); committee (review)</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(after-hours procedure extract); out-patient dispensary; committee members.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CAPA — corrective and preventive action
MOM — Management of Medication (NABH SHCO chapter 7)
NABH — National Accreditation Board for Hospitals and Healthcare Providers
OE — objective element
SHCO — Standards for Small Healthcare Organisations</w:t>
      </w:r>
    </w:p>
    <w:p>
      <w:pPr>
        <w:pStyle w:val="Heading1"/>
        <w:spacing w:after="120" w:before="280"/>
      </w:pPr>
      <w:r>
        <w:t>11. Traceability to NABH SHCO 3rd Edition MOM.1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MOM.1.a — The organisation develops, updates and implements a list of medications appropriate for the patients and as per the scope of the organisation's clinical services.</w:t>
      </w:r>
    </w:p>
    <w:p>
      <w:pPr>
        <w:pStyle w:val="ListParagraph"/>
        <w:numPr>
          <w:ilvl w:val="0"/>
          <w:numId w:val="1"/>
        </w:numPr>
        <w:spacing w:after="60"/>
      </w:pPr>
      <w:r>
        <w:rPr>
          <w:sz w:val="22"/>
          <w:szCs w:val="22"/>
        </w:rPr>
        <w:t xml:space="preserve">Current approved formulary with date of last review.</w:t>
      </w:r>
    </w:p>
    <w:p>
      <w:pPr>
        <w:pStyle w:val="ListParagraph"/>
        <w:numPr>
          <w:ilvl w:val="0"/>
          <w:numId w:val="1"/>
        </w:numPr>
        <w:spacing w:after="60"/>
      </w:pPr>
      <w:r>
        <w:rPr>
          <w:sz w:val="22"/>
          <w:szCs w:val="22"/>
        </w:rPr>
        <w:t xml:space="preserve">Committee minutes recording additions, deletions and clinical rationale.</w:t>
      </w:r>
    </w:p>
    <w:p>
      <w:pPr>
        <w:pStyle w:val="ListParagraph"/>
        <w:numPr>
          <w:ilvl w:val="0"/>
          <w:numId w:val="1"/>
        </w:numPr>
        <w:spacing w:after="60"/>
      </w:pPr>
      <w:r>
        <w:rPr>
          <w:sz w:val="22"/>
          <w:szCs w:val="22"/>
        </w:rPr>
        <w:t xml:space="preserve">Evidence the formulary is available to all prescribers.</w:t>
      </w:r>
    </w:p>
    <w:p>
      <w:pPr>
        <w:pStyle w:val="Heading2"/>
        <w:spacing w:after="100" w:before="220"/>
      </w:pPr>
      <w:r>
        <w:t xml:space="preserve">MOM.1.b — Pharmacy services and medication usage are implemented following written guidance through a multidisciplinary committee.</w:t>
      </w:r>
    </w:p>
    <w:p>
      <w:pPr>
        <w:pStyle w:val="ListParagraph"/>
        <w:numPr>
          <w:ilvl w:val="0"/>
          <w:numId w:val="1"/>
        </w:numPr>
        <w:spacing w:after="60"/>
      </w:pPr>
      <w:r>
        <w:rPr>
          <w:sz w:val="22"/>
          <w:szCs w:val="22"/>
        </w:rPr>
        <w:t xml:space="preserve">Committee constitution and terms of reference.</w:t>
      </w:r>
    </w:p>
    <w:p>
      <w:pPr>
        <w:pStyle w:val="ListParagraph"/>
        <w:numPr>
          <w:ilvl w:val="0"/>
          <w:numId w:val="1"/>
        </w:numPr>
        <w:spacing w:after="60"/>
      </w:pPr>
      <w:r>
        <w:rPr>
          <w:sz w:val="22"/>
          <w:szCs w:val="22"/>
        </w:rPr>
        <w:t xml:space="preserve">Quarterly meeting minutes with attendance, decisions, action items and deadlines.</w:t>
      </w:r>
    </w:p>
    <w:p>
      <w:pPr>
        <w:pStyle w:val="ListParagraph"/>
        <w:numPr>
          <w:ilvl w:val="0"/>
          <w:numId w:val="1"/>
        </w:numPr>
        <w:spacing w:after="60"/>
      </w:pPr>
      <w:r>
        <w:rPr>
          <w:sz w:val="22"/>
          <w:szCs w:val="22"/>
        </w:rPr>
        <w:t xml:space="preserve">Written guidance documents the committee has issued or endorsed.</w:t>
      </w:r>
    </w:p>
    <w:p>
      <w:pPr>
        <w:pStyle w:val="ListParagraph"/>
        <w:numPr>
          <w:ilvl w:val="0"/>
          <w:numId w:val="1"/>
        </w:numPr>
        <w:spacing w:after="60"/>
      </w:pPr>
      <w:r>
        <w:rPr>
          <w:sz w:val="22"/>
          <w:szCs w:val="22"/>
        </w:rPr>
        <w:t xml:space="preserve">Review of medication-usage data and adverse-event trends.</w:t>
      </w:r>
    </w:p>
    <w:p>
      <w:pPr>
        <w:pStyle w:val="Heading2"/>
        <w:spacing w:after="100" w:before="220"/>
      </w:pPr>
      <w:r>
        <w:t xml:space="preserve">MOM.1.c — The organisation adheres to the procedure for the acquisition of formulary medications and medications not listed in the formulary.</w:t>
      </w:r>
    </w:p>
    <w:p>
      <w:pPr>
        <w:pStyle w:val="ListParagraph"/>
        <w:numPr>
          <w:ilvl w:val="0"/>
          <w:numId w:val="1"/>
        </w:numPr>
        <w:spacing w:after="60"/>
      </w:pPr>
      <w:r>
        <w:rPr>
          <w:sz w:val="22"/>
          <w:szCs w:val="22"/>
        </w:rPr>
        <w:t xml:space="preserve">Supplier records with licence verification.</w:t>
      </w:r>
    </w:p>
    <w:p>
      <w:pPr>
        <w:pStyle w:val="ListParagraph"/>
        <w:numPr>
          <w:ilvl w:val="0"/>
          <w:numId w:val="1"/>
        </w:numPr>
        <w:spacing w:after="60"/>
      </w:pPr>
      <w:r>
        <w:rPr>
          <w:sz w:val="22"/>
          <w:szCs w:val="22"/>
        </w:rPr>
        <w:t xml:space="preserve">Goods-receipt register with batch, expiry and storage check.</w:t>
      </w:r>
    </w:p>
    <w:p>
      <w:pPr>
        <w:pStyle w:val="ListParagraph"/>
        <w:numPr>
          <w:ilvl w:val="0"/>
          <w:numId w:val="1"/>
        </w:numPr>
        <w:spacing w:after="60"/>
      </w:pPr>
      <w:r>
        <w:rPr>
          <w:sz w:val="22"/>
          <w:szCs w:val="22"/>
        </w:rPr>
        <w:t xml:space="preserve">Non-formulary acquisition register with prescriber request and approval.</w:t>
      </w:r>
    </w:p>
    <w:p>
      <w:pPr>
        <w:pStyle w:val="ListParagraph"/>
        <w:numPr>
          <w:ilvl w:val="0"/>
          <w:numId w:val="1"/>
        </w:numPr>
        <w:spacing w:after="60"/>
      </w:pPr>
      <w:r>
        <w:rPr>
          <w:sz w:val="22"/>
          <w:szCs w:val="22"/>
        </w:rPr>
        <w:t xml:space="preserve">Retrospective approval records for emergency non-formulary requests.</w:t>
      </w:r>
    </w:p>
    <w:p>
      <w:pPr>
        <w:pStyle w:val="Heading2"/>
        <w:spacing w:after="100" w:before="220"/>
      </w:pPr>
      <w:r>
        <w:t xml:space="preserve">MOM.1.d — There is a procedure to obtain medication when the pharmacy is closed.</w:t>
      </w:r>
    </w:p>
    <w:p>
      <w:pPr>
        <w:pStyle w:val="ListParagraph"/>
        <w:numPr>
          <w:ilvl w:val="0"/>
          <w:numId w:val="1"/>
        </w:numPr>
        <w:spacing w:after="60"/>
      </w:pPr>
      <w:r>
        <w:rPr>
          <w:sz w:val="22"/>
          <w:szCs w:val="22"/>
        </w:rPr>
        <w:t xml:space="preserve">Written after-hours medication access procedure.</w:t>
      </w:r>
    </w:p>
    <w:p>
      <w:pPr>
        <w:pStyle w:val="ListParagraph"/>
        <w:numPr>
          <w:ilvl w:val="0"/>
          <w:numId w:val="1"/>
        </w:numPr>
        <w:spacing w:after="60"/>
      </w:pPr>
      <w:r>
        <w:rPr>
          <w:sz w:val="22"/>
          <w:szCs w:val="22"/>
        </w:rPr>
        <w:t xml:space="preserve">Night-cupboard stock list defined by the committee.</w:t>
      </w:r>
    </w:p>
    <w:p>
      <w:pPr>
        <w:pStyle w:val="ListParagraph"/>
        <w:numPr>
          <w:ilvl w:val="0"/>
          <w:numId w:val="1"/>
        </w:numPr>
        <w:spacing w:after="60"/>
      </w:pPr>
      <w:r>
        <w:rPr>
          <w:sz w:val="22"/>
          <w:szCs w:val="22"/>
        </w:rPr>
        <w:t xml:space="preserve">Withdrawal log with patient name and medication order reference.</w:t>
      </w:r>
    </w:p>
    <w:p>
      <w:pPr>
        <w:pStyle w:val="ListParagraph"/>
        <w:numPr>
          <w:ilvl w:val="0"/>
          <w:numId w:val="1"/>
        </w:numPr>
        <w:spacing w:after="60"/>
      </w:pPr>
      <w:r>
        <w:rPr>
          <w:sz w:val="22"/>
          <w:szCs w:val="22"/>
        </w:rPr>
        <w:t xml:space="preserve">Next-day reconciliation records and incident reports for discrepancies.</w:t>
      </w:r>
    </w:p>
    <w:p>
      <w:pPr>
        <w:pStyle w:val="Heading2"/>
        <w:spacing w:after="100" w:before="220"/>
      </w:pPr>
      <w:r>
        <w:t xml:space="preserve">MOM.1.e — Implantable prosthesis and medical devices are used in accordance with laid down criteria.</w:t>
      </w:r>
    </w:p>
    <w:p>
      <w:pPr>
        <w:pStyle w:val="ListParagraph"/>
        <w:numPr>
          <w:ilvl w:val="0"/>
          <w:numId w:val="1"/>
        </w:numPr>
        <w:spacing w:after="60"/>
      </w:pPr>
      <w:r>
        <w:rPr>
          <w:sz w:val="22"/>
          <w:szCs w:val="22"/>
        </w:rPr>
        <w:t xml:space="preserve">Committee-approved list of implantable prostheses and medical devices.</w:t>
      </w:r>
    </w:p>
    <w:p>
      <w:pPr>
        <w:pStyle w:val="ListParagraph"/>
        <w:numPr>
          <w:ilvl w:val="0"/>
          <w:numId w:val="1"/>
        </w:numPr>
        <w:spacing w:after="60"/>
      </w:pPr>
      <w:r>
        <w:rPr>
          <w:sz w:val="22"/>
          <w:szCs w:val="22"/>
        </w:rPr>
        <w:t xml:space="preserve">Criteria for approval including clinical indication and supplier qualification.</w:t>
      </w:r>
    </w:p>
    <w:p>
      <w:pPr>
        <w:pStyle w:val="ListParagraph"/>
        <w:numPr>
          <w:ilvl w:val="0"/>
          <w:numId w:val="1"/>
        </w:numPr>
        <w:spacing w:after="60"/>
      </w:pPr>
      <w:r>
        <w:rPr>
          <w:sz w:val="22"/>
          <w:szCs w:val="22"/>
        </w:rPr>
        <w:t xml:space="preserve">Cross-reference to MOM.9 for procurement, counselling and traceability.</w:t>
      </w:r>
    </w:p>
    <w:p>
      <w:pPr>
        <w:pStyle w:val="Heading2"/>
        <w:spacing w:after="100" w:before="220"/>
      </w:pPr>
      <w:r>
        <w:t xml:space="preserve">MOM.1.f — The clinicians adhere to the current formulary.</w:t>
      </w:r>
    </w:p>
    <w:p>
      <w:pPr>
        <w:pStyle w:val="ListParagraph"/>
        <w:numPr>
          <w:ilvl w:val="0"/>
          <w:numId w:val="1"/>
        </w:numPr>
        <w:spacing w:after="60"/>
      </w:pPr>
      <w:r>
        <w:rPr>
          <w:sz w:val="22"/>
          <w:szCs w:val="22"/>
        </w:rPr>
        <w:t xml:space="preserve">Off-formulary prescription log maintained by pharmacy.</w:t>
      </w:r>
    </w:p>
    <w:p>
      <w:pPr>
        <w:pStyle w:val="ListParagraph"/>
        <w:numPr>
          <w:ilvl w:val="0"/>
          <w:numId w:val="1"/>
        </w:numPr>
        <w:spacing w:after="60"/>
      </w:pPr>
      <w:r>
        <w:rPr>
          <w:sz w:val="22"/>
          <w:szCs w:val="22"/>
        </w:rPr>
        <w:t xml:space="preserve">Quarterly adherence data presented to the committee.</w:t>
      </w:r>
    </w:p>
    <w:p>
      <w:pPr>
        <w:pStyle w:val="ListParagraph"/>
        <w:numPr>
          <w:ilvl w:val="0"/>
          <w:numId w:val="1"/>
        </w:numPr>
        <w:spacing w:after="60"/>
      </w:pPr>
      <w:r>
        <w:rPr>
          <w:sz w:val="22"/>
          <w:szCs w:val="22"/>
        </w:rPr>
        <w:t xml:space="preserve">Committee action records where off-formulary prescribing was frequent or unjustified.</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MOM.1.</w:t>
      </w:r>
    </w:p>
    <w:p>
      <w:pPr>
        <w:pStyle w:val="ListParagraph"/>
        <w:numPr>
          <w:ilvl w:val="0"/>
          <w:numId w:val="1"/>
        </w:numPr>
        <w:spacing w:after="60"/>
      </w:pPr>
      <w:r>
        <w:rPr>
          <w:sz w:val="22"/>
          <w:szCs w:val="22"/>
        </w:rPr>
        <w:t xml:space="preserve">Drugs and Cosmetics Act, 1940 and the Drugs and Cosmetics Rules, 1945 — formulary and licensed pharmacy requirements.</w:t>
      </w:r>
    </w:p>
    <w:p>
      <w:pPr>
        <w:pStyle w:val="ListParagraph"/>
        <w:numPr>
          <w:ilvl w:val="0"/>
          <w:numId w:val="1"/>
        </w:numPr>
        <w:spacing w:after="60"/>
      </w:pPr>
      <w:r>
        <w:rPr>
          <w:sz w:val="22"/>
          <w:szCs w:val="22"/>
        </w:rPr>
        <w:t xml:space="preserve">Pharmacy Act, 1948 — registered pharmacist requirement.</w:t>
      </w:r>
    </w:p>
    <w:p>
      <w:pPr>
        <w:pStyle w:val="ListParagraph"/>
        <w:numPr>
          <w:ilvl w:val="0"/>
          <w:numId w:val="1"/>
        </w:numPr>
        <w:spacing w:after="60"/>
      </w:pPr>
      <w:r>
        <w:rPr>
          <w:sz w:val="22"/>
          <w:szCs w:val="22"/>
        </w:rPr>
        <w:t xml:space="preserve">Internal documents of «Hospital Name»: formulary; non-formulary acquisition register; after-hours withdrawal log; committee meeting minutes; MOM.9 implant guidance.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the organisation maintains a formulary and acquires medications through a licensed pharmacy, and the Pharmacy Act, 1948, insofar as pharmacy services are provided by registered pharmacists.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MOM/POL/01  |  Controlled document  |  Policy on Multidisciplinary Committee Guides Pharmacy Services and Medication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2026-08-19T10:18:59.612Z</dcterms:created>
  <dcterms:modified xsi:type="dcterms:W3CDTF">2026-08-19T10:18:59.612Z</dcterms:modified>
</cp:coreProperties>
</file>

<file path=docProps/custom.xml><?xml version="1.0" encoding="utf-8"?>
<Properties xmlns="http://schemas.openxmlformats.org/officeDocument/2006/custom-properties" xmlns:vt="http://schemas.openxmlformats.org/officeDocument/2006/docPropsVTypes"/>
</file>