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 xml:space="preserve">The chapter intent is that patient and family rights support individual beliefs, values and involve the patient and family in decision-making processes. A list that exists only so PRE.1 can display it, or a care plan written without the patient, is not that intent.</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PRE.1 owns documentation, display, awareness, promotion, protection, violation report and leadership CAPA. This policy owns the content of the list PRE.1 displays.</w:t>
      </w:r>
    </w:p>
    <w:p>
      <w:pPr>
        <w:pStyle w:val="ListParagraph"/>
        <w:numPr>
          <w:ilvl w:val="0"/>
          <w:numId w:val="1"/>
        </w:numPr>
        <w:spacing w:after="60"/>
      </w:pPr>
      <w:r>
        <w:rPr>
          <w:sz w:val="22"/>
          <w:szCs w:val="22"/>
        </w:rPr>
        <w:t xml:space="preserve">PRE.2.g is the right that informed consent is obtained before transfusion, anaesthesia, surgery, research and other invasive or high-risk treatment. PRE.3 owns the method. COP.5, COP.9, COP.10 and COP.11 own that the relevant consent happened before those acts.</w:t>
      </w:r>
    </w:p>
    <w:p>
      <w:pPr>
        <w:pStyle w:val="ListParagraph"/>
        <w:numPr>
          <w:ilvl w:val="0"/>
          <w:numId w:val="1"/>
        </w:numPr>
        <w:spacing w:after="60"/>
      </w:pPr>
      <w:r>
        <w:rPr>
          <w:sz w:val="22"/>
          <w:szCs w:val="22"/>
        </w:rPr>
        <w:t xml:space="preserve">PRE.2.e refusal is the right. PRE.3 records that consent was not given.</w:t>
      </w:r>
    </w:p>
    <w:p>
      <w:pPr>
        <w:pStyle w:val="ListParagraph"/>
        <w:numPr>
          <w:ilvl w:val="0"/>
          <w:numId w:val="1"/>
        </w:numPr>
        <w:spacing w:after="60"/>
      </w:pPr>
      <w:r>
        <w:rPr>
          <w:sz w:val="22"/>
          <w:szCs w:val="22"/>
        </w:rPr>
        <w:t xml:space="preserve">PRE.2.h is the right to complain and to information on how to voice a complaint. PRE.6 owns the mechanism.</w:t>
      </w:r>
    </w:p>
    <w:p>
      <w:pPr>
        <w:pStyle w:val="ListParagraph"/>
        <w:numPr>
          <w:ilvl w:val="0"/>
          <w:numId w:val="1"/>
        </w:numPr>
        <w:spacing w:after="60"/>
      </w:pPr>
      <w:r>
        <w:rPr>
          <w:sz w:val="22"/>
          <w:szCs w:val="22"/>
        </w:rPr>
        <w:t xml:space="preserve">PRE.2.i is the right to information on expected cost. PRE.5 owns the pricing policy and explanation.</w:t>
      </w:r>
    </w:p>
    <w:p>
      <w:pPr>
        <w:pStyle w:val="ListParagraph"/>
        <w:numPr>
          <w:ilvl w:val="0"/>
          <w:numId w:val="1"/>
        </w:numPr>
        <w:spacing w:after="60"/>
      </w:pPr>
      <w:r>
        <w:rPr>
          <w:sz w:val="22"/>
          <w:szCs w:val="22"/>
        </w:rPr>
        <w:t xml:space="preserve">PRE.2.j access to clinical records during care. IMS owns the record file. AAC.8 owns the discharge summary the patient takes away.</w:t>
      </w:r>
    </w:p>
    <w:p>
      <w:pPr>
        <w:pStyle w:val="ListParagraph"/>
        <w:numPr>
          <w:ilvl w:val="0"/>
          <w:numId w:val="1"/>
        </w:numPr>
        <w:spacing w:after="60"/>
      </w:pPr>
      <w:r>
        <w:rPr>
          <w:sz w:val="22"/>
          <w:szCs w:val="22"/>
        </w:rPr>
        <w:t xml:space="preserve">PRE.2.o care plan prepared and modified in consultation. AAC.3 owns the clinical care plan. PRE.5.d owns financial implications of a change.</w:t>
      </w:r>
    </w:p>
    <w:p>
      <w:pPr>
        <w:pStyle w:val="ListParagraph"/>
        <w:numPr>
          <w:ilvl w:val="0"/>
          <w:numId w:val="1"/>
        </w:numPr>
        <w:spacing w:after="60"/>
      </w:pPr>
      <w:r>
        <w:rPr>
          <w:sz w:val="22"/>
          <w:szCs w:val="22"/>
        </w:rPr>
        <w:t xml:space="preserve">PRE.2.p multidisciplinary counselling when appropriate. COP.6.e owns periodic ICU family counselling where ICU exists.</w:t>
      </w:r>
    </w:p>
    <w:p>
      <w:pPr>
        <w:pStyle w:val="ListParagraph"/>
        <w:numPr>
          <w:ilvl w:val="0"/>
          <w:numId w:val="1"/>
        </w:numPr>
        <w:spacing w:after="60"/>
      </w:pPr>
      <w:r>
        <w:rPr>
          <w:sz w:val="22"/>
          <w:szCs w:val="22"/>
        </w:rPr>
        <w:t xml:space="preserve">PRE.2.d confidentiality as a patient right. IMS owns how the record is kept confidential as a file.</w:t>
      </w:r>
    </w:p>
    <w:p>
      <w:pPr>
        <w:pStyle w:val="ListParagraph"/>
        <w:numPr>
          <w:ilvl w:val="0"/>
          <w:numId w:val="1"/>
        </w:numPr>
        <w:spacing w:after="60"/>
      </w:pPr>
      <w:r>
        <w:rPr>
          <w:sz w:val="22"/>
          <w:szCs w:val="22"/>
        </w:rPr>
        <w:t xml:space="preserve">Capacity and who may consent when the patient cannot are PRE.3.c. The Mental Healthcare Act, 2017 is not applied as a blanket to this rights list.</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ICU — intensive care unit
IMS — Information Management System (NABH chapter; not yet drafted)
NABH — National Accreditation Board for Hospitals and Healthcare Providers
OE — objective element
PRE — Patient Rights and Education (NABH SHCO chapter 4)
SHCO — Standards for Small Healthcare Organisations
WHO — World Health Organization</w:t>
      </w:r>
    </w:p>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