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Risk Management, System-Failure Reporting and Outsourced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 xml:space="preserve">The chapter intent is that leaders ensure that patient-safety and risk-management issues are an integral part of patient care and hospital management.</w:t>
      </w:r>
    </w:p>
    <w:p>
      <w:pPr>
        <w:spacing w:after="140"/>
      </w:pPr>
      <w:r>
        <w:rPr>
          <w:sz w:val="22"/>
          <w:szCs w:val="22"/>
        </w:rPr>
        <w:t xml:space="preserve">This policy is written as governance and leadership ownership of risk management and outsourced services. Ward-level patient-safety mechanics remain with PSQ. Infection-control mechanics remain with HIC. Facilities safety mechanics remain with FMS.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spacing w:after="140"/>
      </w:pPr>
      <w:r>
        <w:rPr>
          <w:sz w:val="22"/>
          <w:szCs w:val="22"/>
        </w:rPr>
        <w:t xml:space="preserve">It covers the five elements ROM.4.a–e name. It does not cover governance roles and mission (ROM.1), leader qualifications and performance (ROM.2), or strategic plans and service standards (ROM.3, though ROM.4.b integrates with ROM.3's strategic planning).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 owns the quality-improvement programme, patient-safety goals, incident analysis and clinical indicators. This policy owns management's duty to ensure proactive risk management and to integrate quality improvement with strategic planning.</w:t>
      </w:r>
    </w:p>
    <w:p>
      <w:pPr>
        <w:pStyle w:val="ListParagraph"/>
        <w:numPr>
          <w:ilvl w:val="0"/>
          <w:numId w:val="1"/>
        </w:numPr>
        <w:spacing w:after="60"/>
      </w:pPr>
      <w:r>
        <w:rPr>
          <w:sz w:val="22"/>
          <w:szCs w:val="22"/>
        </w:rPr>
        <w:t xml:space="preserve">HIC owns infection-prevention and -control mechanics. This policy owns management's risk-management oversight that includes infection risk.</w:t>
      </w:r>
    </w:p>
    <w:p>
      <w:pPr>
        <w:pStyle w:val="ListParagraph"/>
        <w:numPr>
          <w:ilvl w:val="0"/>
          <w:numId w:val="1"/>
        </w:numPr>
        <w:spacing w:after="60"/>
      </w:pPr>
      <w:r>
        <w:rPr>
          <w:sz w:val="22"/>
          <w:szCs w:val="22"/>
        </w:rPr>
        <w:t xml:space="preserve">FMS owns facilities safety, fire safety and hazardous-materials management. This policy owns management's risk-management oversight that includes facilities risk.</w:t>
      </w:r>
    </w:p>
    <w:p>
      <w:pPr>
        <w:pStyle w:val="ListParagraph"/>
        <w:numPr>
          <w:ilvl w:val="0"/>
          <w:numId w:val="1"/>
        </w:numPr>
        <w:spacing w:after="60"/>
      </w:pPr>
      <w:r>
        <w:rPr>
          <w:sz w:val="22"/>
          <w:szCs w:val="22"/>
        </w:rPr>
        <w:t xml:space="preserve">ROM.3 owns strategic and operational plans. This policy owns the integration of risk management into those plans (ROM.4.b).</w:t>
      </w:r>
    </w:p>
    <w:p>
      <w:pPr>
        <w:pStyle w:val="ListParagraph"/>
        <w:numPr>
          <w:ilvl w:val="0"/>
          <w:numId w:val="1"/>
        </w:numPr>
        <w:spacing w:after="60"/>
      </w:pPr>
      <w:r>
        <w:rPr>
          <w:sz w:val="22"/>
          <w:szCs w:val="22"/>
        </w:rPr>
        <w:t xml:space="preserve">Outsourced-service operational supervision is the responsibility of the department that uses the service. This policy owns the documented agreement and quality monitoring at the management level.</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 xml:space="preserve">This is management's ownership of risk. PSQ owns quality indicators and patient-safety goals. HIC owns infection risk at the operational level. FMS owns facilities risk at the operational level. ROM.4.a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 xml:space="preserve">Management ensures integration between quality improvement, risk management and strategic planning within the organisation. The strategic plan (ROM.3.a)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 xml:space="preserve">This is not a separate quality plan. It is the documented link between what PSQ measures, what the risk register identifies, and what ROM.3's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 xml:space="preserve">The «Quality Coordinator» maintains the failure-reporting register. The Medical Superintendent reviews the register «monthly» and presents a summary to the governing body «quarterly». PSQ owns the incident-analysis method. This step owns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FMS — Facility Management and Safety (NABH SHCO chapter 6)
HIC — Hospital Infection Control (NABH SHCO chapter 5)
NABH — National Accreditation Board for Hospitals and Healthcare Providers
OE — objective element
PSQ — Patient Safety and Quality Improvement (NABH SHCO chapter 9)
ROM — Responsibilities of Management (NABH SHCO chapter 7)
SHCO — Standards for Small Healthcare Organisations</w:t>
      </w:r>
    </w:p>
    <w:p>
      <w:pPr>
        <w:pStyle w:val="Heading1"/>
        <w:spacing w:after="120" w:before="280"/>
      </w:pPr>
      <w:r>
        <w:t>11. Traceability to NABH SHCO 3rd Edition ROM.4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«ROM/POL/04»  |  Controlled document  |  Policy on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