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Patient-Safety Programme and Quality Improvement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This policy describes how «Hospital Name» maintains a patient-safety programme and a structured quality improvement programme that work together as one system.</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The programme covers: proactive risk identification, reactive review of incident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The patient-safety programme identifies opportunities for improvement based on review at pre-defined intervals: «quarterly» committee meetings, «monthly» incident-trend reports, and «six-monthly» proactive risk assessments.</w:t>
      </w:r>
    </w:p>
    <w:p>
      <w:pPr>
        <w:spacing w:after="140"/>
      </w:pPr>
      <w:r>
        <w:rPr>
          <w:sz w:val="22"/>
          <w:szCs w:val="22"/>
        </w:rPr>
        <w:t>Sources of opportunity include incident data, indicator trends, clinical audit findings, patient complaints that reveal clinical risk,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A designated individual — the «Quality Coordinator» — coordinates and implements the QI programme. This person is named in the appointment register and has documented responsibilities including: coordinating QI projects, maintaining the indicator dashboard,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Sources include key indicator data, audit findings, incident trends, patient feedback,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Each audit has a defined scope, criteria, method, findings and recommendations. Findings feed into the patient-safety and QI programmes as opportunities for improvement. Audit reports are presented to the committee and tracked for CAPA closure.</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All staff involved in patient-safety and QI activities are trained on this policy at induction and «once a year» after that. Training covers the patient-safety programme, QI programme, audit participation, incident reporting,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FMEA</w:t>
            </w:r>
          </w:p>
        </w:tc>
        <w:tc>
          <w:tcPr>
            <w:tcW w:type="pct" w:w="22%"/>
            <w:tcBorders>
              <w:top w:val="single" w:color="999999" w:sz="4"/>
              <w:left w:val="single" w:color="999999" w:sz="4"/>
              <w:bottom w:val="single" w:color="999999" w:sz="4"/>
              <w:right w:val="single" w:color="999999" w:sz="4"/>
            </w:tcBorders>
            <w:shd w:fill="E8E8E8" w:val="clear"/>
          </w:tcPr>
          <w:p>
            <w:r>
              <w:rPr>
                <w:b w:val="0"/>
              </w:rPr>
              <w:t>failure mode and effect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IPSG</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Patient Safety Goals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PSQ.1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«PSQ/POL/01»  |  Controlled document  |  Policy on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