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Beliefs, Values and Involvement in Decision-Making</w:t>
      </w:r>
    </w:p>
    <w:p>
      <w:pPr>
        <w:spacing w:after="240"/>
        <w:jc w:val="center"/>
      </w:pPr>
      <w:r>
        <w:rPr>
          <w:i/>
          <w:iCs/>
          <w:sz w:val="20"/>
          <w:szCs w:val="20"/>
        </w:rPr>
        <w:t xml:space="preserve">Beliefs, values and decision-making in day-to-day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«Hospital Name»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 xml:space="preserve">The chapter intent is that patient and family rights support individual beliefs, values and involve the patient and family in decision-making processes. A list that exists only so PRE.1 can display it, or a care plan written without the patient, is not that intent.</w:t>
      </w:r>
    </w:p>
    <w:p>
      <w:pPr>
        <w:spacing w:after="140"/>
      </w:pPr>
      <w:r>
        <w:rPr>
          <w:sz w:val="22"/>
          <w:szCs w:val="22"/>
        </w:rPr>
        <w:t xml:space="preserve">This policy owns what the rights include and how they are exercised. PRE.1 owns that a documented set exists, is displayed, promoted and protected. PRE.3 owns consent method. PRE.5 owns cost information. PRE.6 owns complaint redressal.</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w:t>
      </w:r>
    </w:p>
    <w:p>
      <w:pPr>
        <w:spacing w:after="140"/>
      </w:pPr>
      <w:r>
        <w:rPr>
          <w:sz w:val="22"/>
          <w:szCs w:val="22"/>
        </w:rPr>
        <w:t xml:space="preserve">It covers the sixteen rights and involvement elements PRE.2.a–p name. It does not cover how the set is displayed (PRE.1), how consent is obtained (PRE.3), how expected costs are explained (PRE.5), or how complaints are redressed (PRE.6).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PRE.1 owns documentation, display, awareness, promotion, protection, violation report and leadership CAPA. This policy owns the content of the list PRE.1 displays.</w:t>
      </w:r>
    </w:p>
    <w:p>
      <w:pPr>
        <w:pStyle w:val="ListParagraph"/>
        <w:numPr>
          <w:ilvl w:val="0"/>
          <w:numId w:val="1"/>
        </w:numPr>
        <w:spacing w:after="60"/>
      </w:pPr>
      <w:r>
        <w:rPr>
          <w:sz w:val="22"/>
          <w:szCs w:val="22"/>
        </w:rPr>
        <w:t xml:space="preserve">PRE.2.g is the right that informed consent is obtained before transfusion, anaesthesia, surgery, research and other invasive or high-risk treatment. PRE.3 owns the method. COP.5, COP.9, COP.10 and COP.11 own that the relevant consent happened before those acts.</w:t>
      </w:r>
    </w:p>
    <w:p>
      <w:pPr>
        <w:pStyle w:val="ListParagraph"/>
        <w:numPr>
          <w:ilvl w:val="0"/>
          <w:numId w:val="1"/>
        </w:numPr>
        <w:spacing w:after="60"/>
      </w:pPr>
      <w:r>
        <w:rPr>
          <w:sz w:val="22"/>
          <w:szCs w:val="22"/>
        </w:rPr>
        <w:t xml:space="preserve">PRE.2.e refusal is the right. PRE.3 records that consent was not given.</w:t>
      </w:r>
    </w:p>
    <w:p>
      <w:pPr>
        <w:pStyle w:val="ListParagraph"/>
        <w:numPr>
          <w:ilvl w:val="0"/>
          <w:numId w:val="1"/>
        </w:numPr>
        <w:spacing w:after="60"/>
      </w:pPr>
      <w:r>
        <w:rPr>
          <w:sz w:val="22"/>
          <w:szCs w:val="22"/>
        </w:rPr>
        <w:t xml:space="preserve">PRE.2.h is the right to complain and to information on how to voice a complaint. PRE.6 owns the mechanism.</w:t>
      </w:r>
    </w:p>
    <w:p>
      <w:pPr>
        <w:pStyle w:val="ListParagraph"/>
        <w:numPr>
          <w:ilvl w:val="0"/>
          <w:numId w:val="1"/>
        </w:numPr>
        <w:spacing w:after="60"/>
      </w:pPr>
      <w:r>
        <w:rPr>
          <w:sz w:val="22"/>
          <w:szCs w:val="22"/>
        </w:rPr>
        <w:t xml:space="preserve">PRE.2.i is the right to information on expected cost. PRE.5 owns the pricing policy and explanation.</w:t>
      </w:r>
    </w:p>
    <w:p>
      <w:pPr>
        <w:pStyle w:val="ListParagraph"/>
        <w:numPr>
          <w:ilvl w:val="0"/>
          <w:numId w:val="1"/>
        </w:numPr>
        <w:spacing w:after="60"/>
      </w:pPr>
      <w:r>
        <w:rPr>
          <w:sz w:val="22"/>
          <w:szCs w:val="22"/>
        </w:rPr>
        <w:t xml:space="preserve">PRE.2.j access to clinical records during care. IMS owns the record file. AAC.8 owns the discharge summary the patient takes away.</w:t>
      </w:r>
    </w:p>
    <w:p>
      <w:pPr>
        <w:pStyle w:val="ListParagraph"/>
        <w:numPr>
          <w:ilvl w:val="0"/>
          <w:numId w:val="1"/>
        </w:numPr>
        <w:spacing w:after="60"/>
      </w:pPr>
      <w:r>
        <w:rPr>
          <w:sz w:val="22"/>
          <w:szCs w:val="22"/>
        </w:rPr>
        <w:t xml:space="preserve">PRE.2.o care plan prepared and modified in consultation. AAC.3 owns the clinical care plan. PRE.5.d owns financial implications of a change.</w:t>
      </w:r>
    </w:p>
    <w:p>
      <w:pPr>
        <w:pStyle w:val="ListParagraph"/>
        <w:numPr>
          <w:ilvl w:val="0"/>
          <w:numId w:val="1"/>
        </w:numPr>
        <w:spacing w:after="60"/>
      </w:pPr>
      <w:r>
        <w:rPr>
          <w:sz w:val="22"/>
          <w:szCs w:val="22"/>
        </w:rPr>
        <w:t xml:space="preserve">PRE.2.p multidisciplinary counselling when appropriate. COP.6.e owns periodic ICU family counselling where ICU exists.</w:t>
      </w:r>
    </w:p>
    <w:p>
      <w:pPr>
        <w:pStyle w:val="ListParagraph"/>
        <w:numPr>
          <w:ilvl w:val="0"/>
          <w:numId w:val="1"/>
        </w:numPr>
        <w:spacing w:after="60"/>
      </w:pPr>
      <w:r>
        <w:rPr>
          <w:sz w:val="22"/>
          <w:szCs w:val="22"/>
        </w:rPr>
        <w:t xml:space="preserve">PRE.2.d confidentiality as a patient right. IMS owns how the record is kept confidential as a file.</w:t>
      </w:r>
    </w:p>
    <w:p>
      <w:pPr>
        <w:pStyle w:val="ListParagraph"/>
        <w:numPr>
          <w:ilvl w:val="0"/>
          <w:numId w:val="1"/>
        </w:numPr>
        <w:spacing w:after="60"/>
      </w:pPr>
      <w:r>
        <w:rPr>
          <w:sz w:val="22"/>
          <w:szCs w:val="22"/>
        </w:rPr>
        <w:t xml:space="preserve">Capacity and who may consent when the patient cannot are PRE.3.c. The Mental Healthcare Act, 2017 is not applied as a blanket to this rights list.</w:t>
      </w:r>
    </w:p>
    <w:p>
      <w:pPr>
        <w:pStyle w:val="Heading1"/>
        <w:spacing w:after="120" w:before="280"/>
      </w:pPr>
      <w:r>
        <w:t xml:space="preserve">3. Policy standards</w:t>
      </w:r>
    </w:p>
    <w:p>
      <w:pPr>
        <w:spacing w:after="140"/>
      </w:pPr>
      <w:r>
        <w:rPr>
          <w:sz w:val="22"/>
          <w:szCs w:val="22"/>
        </w:rPr>
        <w:t xml:space="preserve">«Hospital Name» includes in patient and family rights the elements PRE.2.a–p name, and exercises them in the course of care — not only on a charter in the quality office.</w:t>
      </w:r>
    </w:p>
    <w:p>
      <w:pPr>
        <w:spacing w:after="140"/>
      </w:pPr>
      <w:r>
        <w:rPr>
          <w:sz w:val="22"/>
          <w:szCs w:val="22"/>
        </w:rPr>
        <w:t xml:space="preserve">«Hospital Name» involves the patient and/or family in decision-making, including the care plan and multidisciplinary counselling when appropriate.</w:t>
      </w:r>
    </w:p>
    <w:p>
      <w:pPr>
        <w:spacing w:after="140"/>
      </w:pPr>
      <w:r>
        <w:rPr>
          <w:sz w:val="22"/>
          <w:szCs w:val="22"/>
        </w:rPr>
        <w:t xml:space="preserve">«Hospital Name» does not treat the PRE.1 display board as a substitute for these rights being exercised, and does not rewrite PRE.3, PRE.5, PRE.6, COP.5/9/10/11, AAC.3 or AAC.8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 xml:space="preserve">4. Withholding the treating doctor's name, care-plan information, or access to records when those are rights — except where the patient determines that information is not given to family (PRE.2.l).</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 xml:space="preserve">6. Sending a complaint or cost question only to the person the patient is complaining about, when those are rights listed here and PRE.6 or PRE.5 own the method.</w:t>
      </w:r>
    </w:p>
    <w:p>
      <w:pPr>
        <w:spacing w:after="80"/>
      </w:pPr>
      <w:r>
        <w:rPr>
          <w:sz w:val="22"/>
          <w:szCs w:val="22"/>
        </w:rPr>
        <w:t xml:space="preserve">7. Applying a Mental Healthcare Act process to every unconscious patient instead of the incapacity description in PRE.3.</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 xml:space="preserve">Treating doctors and nurses protect dignity and privacy with screens, closed doors and low voices. A corridor discussion of diagnosis is a defect. A suspicion of neglect or abuse is reported under PRE.1.d when it is a rights violation. Confidentiality as a record-keeping system remains IMS;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 xml:space="preserve">Refusal is received without punishment and recorded as refusal — PRE.3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 xml:space="preserve">This step is a pointer. The method is PRE.3. That consent happened before transfusion, sedation, anaesthesia or surgery remains COP.5, COP.9, COP.10 and COP.11.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 xml:space="preserve">This step is a pointer. Complaint mechanism and awareness of the procedure are PRE.6. Pricing policy, tariff and expected-cost explanation are PRE.5.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 xml:space="preserve">Access during care is given by «the treating doctor or the Patient Rights Officer on request», in a place that protects privacy. The discharge summary the patient takes away remains AAC.8. The record as a file remains IMS. A relative who demands information against the patient's determination does not meet PRE.2.l.</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 xml:space="preserve">The treating team tells the patient and family who is treating them, how the plan is progressing, and what healthcare needs apply. Ongoing education about healthcare needs as a teaching method remains PRE.4.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 xml:space="preserve">Clinicians give those explanations in the course of decision-making. The consent conversation that must include procedure, risks, benefits, alternatives and who will perform remains PRE.3.b. Disease-process education remains PRE.4.d.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 xml:space="preserve">The treating team consults the patient and/or family when the plan is prepared or modified. AAC.3 owns the care plan as a clinical document. PRE.5.d owns the financial implications of a change. The «counsellor» or treating team provides multidisciplinary counselling when appropriate — «for example before major surgery, on request, or when the treating doctor documents that it is needed». COP.6.e owns periodic ICU family counselling where ICU exists.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rights PRE.2.a–p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Keeps the documented rights set aligned with PRE.1's display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 xml:space="preserve">Pointers to PRE.3, PRE.5 and PRE.6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 xml:space="preserve">This policy is reviewed «annually», and sooner when PRE.1, PRE.3, PRE.4, PRE.5, PRE.6 or AAC.3 are revised.</w:t>
      </w:r>
    </w:p>
    <w:p>
      <w:pPr>
        <w:pStyle w:val="Heading1"/>
        <w:spacing w:after="120" w:before="280"/>
      </w:pPr>
      <w:r>
        <w:t xml:space="preserve">8. Training and staff acknowledgement</w:t>
      </w:r>
    </w:p>
    <w:p>
      <w:pPr>
        <w:spacing w:after="140"/>
      </w:pPr>
      <w:r>
        <w:rPr>
          <w:sz w:val="22"/>
          <w:szCs w:val="22"/>
        </w:rPr>
        <w:t xml:space="preserve">All clinical staff and registration staff are trained on this policy at induction and «once a year» after that. Training covers the rights list, how to exercise it in care, and where PRE.3, PRE.5 and PRE.6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«Hospital Name».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PRE.2.</w:t>
      </w:r>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«Hospital Name»: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ICU — intensive care unit
IMS — Information Management System (NABH chapter; not yet drafted)
NABH — National Accreditation Board for Hospitals and Healthcare Providers
OE — objective element
PRE — Patient Rights and Education (NABH SHCO chapter 4)
SHCO — Standards for Small Healthcare Organisations
WHO — World Health Organization</w:t>
      </w:r>
    </w:p>
    <w:p>
      <w:pPr>
        <w:pStyle w:val="Heading1"/>
        <w:spacing w:after="120" w:before="280"/>
      </w:pPr>
      <w:r>
        <w:t xml:space="preserve">12. Traceability to NABH SHCO 3rd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«PRE/POL/00»  |  Controlled document  |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2026-08-19T07:04:55.099Z</dcterms:created>
  <dcterms:modified xsi:type="dcterms:W3CDTF">2026-08-19T07:04:55.100Z</dcterms:modified>
</cp:coreProperties>
</file>

<file path=docProps/custom.xml><?xml version="1.0" encoding="utf-8"?>
<Properties xmlns="http://schemas.openxmlformats.org/officeDocument/2006/custom-properties" xmlns:vt="http://schemas.openxmlformats.org/officeDocument/2006/docPropsVTypes"/>
</file>