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Consent</w:t>
      </w:r>
    </w:p>
    <w:p>
      <w:pPr>
        <w:spacing w:after="240"/>
        <w:jc w:val="center"/>
      </w:pPr>
      <w:r>
        <w:rPr>
          <w:i/>
          <w:iCs/>
          <w:sz w:val="20"/>
          <w:szCs w:val="20"/>
        </w:rPr>
        <w:t xml:space="preserve">Informed consent before procedures and high-risk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The chapter intent is that informed consent is obtained for specified procedures and care, and that key components include risks, benefits and alternatives.</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spacing w:after="140"/>
      </w:pPr>
      <w:r>
        <w:rPr>
          <w:sz w:val="22"/>
          <w:szCs w:val="22"/>
        </w:rPr>
        <w:t xml:space="preserve">Boundaries:</w:t>
      </w:r>
    </w:p>
    <w:p>
      <w:pPr>
        <w:pStyle w:val="ListParagraph"/>
        <w:numPr>
          <w:ilvl w:val="0"/>
          <w:numId w:val="1"/>
        </w:numPr>
        <w:spacing w:after="60"/>
      </w:pPr>
      <w:r>
        <w:rPr>
          <w:sz w:val="22"/>
          <w:szCs w:val="22"/>
        </w:rPr>
        <w:t xml:space="preserve">PRE.2.g lists the right that consent is obtained before those acts. This policy owns the method.</w:t>
      </w:r>
    </w:p>
    <w:p>
      <w:pPr>
        <w:pStyle w:val="ListParagraph"/>
        <w:numPr>
          <w:ilvl w:val="0"/>
          <w:numId w:val="1"/>
        </w:numPr>
        <w:spacing w:after="60"/>
      </w:pPr>
      <w:r>
        <w:rPr>
          <w:sz w:val="22"/>
          <w:szCs w:val="22"/>
        </w:rPr>
        <w:t xml:space="preserve">COP.5, COP.9, COP.10 and COP.11 own that the relevant consent happened before those acts.</w:t>
      </w:r>
    </w:p>
    <w:p>
      <w:pPr>
        <w:pStyle w:val="ListParagraph"/>
        <w:numPr>
          <w:ilvl w:val="0"/>
          <w:numId w:val="1"/>
        </w:numPr>
        <w:spacing w:after="60"/>
      </w:pPr>
      <w:r>
        <w:rPr>
          <w:sz w:val="22"/>
          <w:szCs w:val="22"/>
        </w:rPr>
        <w:t xml:space="preserve">PRE.4 owns ongoing education in a language they can understand. PRE.3.b is the consent conversation.</w:t>
      </w:r>
    </w:p>
    <w:p>
      <w:pPr>
        <w:pStyle w:val="ListParagraph"/>
        <w:numPr>
          <w:ilvl w:val="0"/>
          <w:numId w:val="1"/>
        </w:numPr>
        <w:spacing w:after="60"/>
      </w:pPr>
      <w:r>
        <w:rPr>
          <w:sz w:val="22"/>
          <w:szCs w:val="22"/>
        </w:rPr>
        <w:t xml:space="preserve">PRE.1 and PRE.2.e: refusal is a right; this policy records consent not given.</w:t>
      </w:r>
    </w:p>
    <w:p>
      <w:pPr>
        <w:pStyle w:val="ListParagraph"/>
        <w:numPr>
          <w:ilvl w:val="0"/>
          <w:numId w:val="1"/>
        </w:numPr>
        <w:spacing w:after="60"/>
      </w:pPr>
      <w:r>
        <w:rPr>
          <w:sz w:val="22"/>
          <w:szCs w:val="22"/>
        </w:rPr>
        <w:t xml:space="preserve">MOM.9 implant usage counselling is not surgical consent.</w:t>
      </w:r>
    </w:p>
    <w:p>
      <w:pPr>
        <w:pStyle w:val="ListParagraph"/>
        <w:numPr>
          <w:ilvl w:val="0"/>
          <w:numId w:val="1"/>
        </w:numPr>
        <w:spacing w:after="60"/>
      </w:pPr>
      <w:r>
        <w:rPr>
          <w:sz w:val="22"/>
          <w:szCs w:val="22"/>
        </w:rPr>
        <w:t xml:space="preserve">Capacity under the Mental Healthcare Act, 2017 is PRE.3.c when that Act's definition of a person with mental illness is met — not a blanket for every unconscious patient.</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11.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 xml:space="preserve">12. Abbreviations</w:t>
      </w:r>
    </w:p>
    <w:p>
      <w:pPr>
        <w:spacing w:after="140"/>
      </w:pPr>
      <w:r>
        <w:rPr>
          <w:sz w:val="22"/>
          <w:szCs w:val="22"/>
        </w:rPr>
        <w:t xml:space="preserve">MHCA — Mental Healthcare Act, 2017
NMC — National Medical Commission
NABH — National Accreditation Board for Hospitals and Healthcare Providers
PRE — Patient Rights and Education
SHCO — Standards for Small Healthcare Organisations</w:t>
      </w:r>
    </w:p>
    <w:p>
      <w:pPr>
        <w:pStyle w:val="Heading1"/>
        <w:spacing w:after="120" w:before="280"/>
      </w:pPr>
      <w:r>
        <w:t xml:space="preserve">13.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«PRE/POL/00»  |  Controlled document  |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2026-08-19T07:04:55.252Z</dcterms:created>
  <dcterms:modified xsi:type="dcterms:W3CDTF">2026-08-19T07:04:55.252Z</dcterms:modified>
</cp:coreProperties>
</file>

<file path=docProps/custom.xml><?xml version="1.0" encoding="utf-8"?>
<Properties xmlns="http://schemas.openxmlformats.org/officeDocument/2006/custom-properties" xmlns:vt="http://schemas.openxmlformats.org/officeDocument/2006/docPropsVTypes"/>
</file>