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on Expected Costs</w:t>
      </w:r>
    </w:p>
    <w:p>
      <w:pPr>
        <w:spacing w:after="240"/>
        <w:jc w:val="center"/>
      </w:pPr>
      <w:r>
        <w:rPr>
          <w:i/>
          <w:iCs/>
          <w:sz w:val="20"/>
          <w:szCs w:val="20"/>
        </w:rPr>
        <w:t xml:space="preserve">Expected costs explained clearly to patients and families.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spacing w:after="140"/>
      </w:pPr>
      <w:r>
        <w:rPr>
          <w:sz w:val="22"/>
          <w:szCs w:val="22"/>
        </w:rPr>
        <w:t xml:space="preserve">Boundaries:</w:t>
      </w:r>
    </w:p>
    <w:p>
      <w:pPr>
        <w:pStyle w:val="ListParagraph"/>
        <w:numPr>
          <w:ilvl w:val="0"/>
          <w:numId w:val="1"/>
        </w:numPr>
        <w:spacing w:after="60"/>
      </w:pPr>
      <w:r>
        <w:rPr>
          <w:sz w:val="22"/>
          <w:szCs w:val="22"/>
        </w:rPr>
        <w:t xml:space="preserve">PRE.2.i lists the right; this policy owns tariff and explanation.</w:t>
      </w:r>
    </w:p>
    <w:p>
      <w:pPr>
        <w:pStyle w:val="ListParagraph"/>
        <w:numPr>
          <w:ilvl w:val="0"/>
          <w:numId w:val="1"/>
        </w:numPr>
        <w:spacing w:after="60"/>
      </w:pPr>
      <w:r>
        <w:rPr>
          <w:sz w:val="22"/>
          <w:szCs w:val="22"/>
        </w:rPr>
        <w:t xml:space="preserve">AAC.3 and PRE.2.o own clinical care-plan change; PRE.5.d owns the money of that change.</w:t>
      </w:r>
    </w:p>
    <w:p>
      <w:pPr>
        <w:pStyle w:val="ListParagraph"/>
        <w:numPr>
          <w:ilvl w:val="0"/>
          <w:numId w:val="1"/>
        </w:numPr>
        <w:spacing w:after="60"/>
      </w:pPr>
      <w:r>
        <w:rPr>
          <w:sz w:val="22"/>
          <w:szCs w:val="22"/>
        </w:rPr>
        <w:t xml:space="preserve">PRE.3 signed consent is not agreement to an unnamed bill.</w:t>
      </w:r>
    </w:p>
    <w:p>
      <w:pPr>
        <w:pStyle w:val="ListParagraph"/>
        <w:numPr>
          <w:ilvl w:val="0"/>
          <w:numId w:val="1"/>
        </w:numPr>
        <w:spacing w:after="60"/>
      </w:pPr>
      <w:r>
        <w:rPr>
          <w:sz w:val="22"/>
          <w:szCs w:val="22"/>
        </w:rPr>
        <w:t xml:space="preserve">ROM/FMS billing ledger is not this patient-facing explanation.</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 xml:space="preserve">11. Abbreviations</w:t>
      </w:r>
    </w:p>
    <w:p>
      <w:pPr>
        <w:spacing w:after="140"/>
      </w:pPr>
      <w:r>
        <w:rPr>
          <w:sz w:val="22"/>
          <w:szCs w:val="22"/>
        </w:rPr>
        <w:t xml:space="preserve">ICU — intensive care unit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«PRE/POL/00»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2026-08-19T07:04:55.535Z</dcterms:created>
  <dcterms:modified xsi:type="dcterms:W3CDTF">2026-08-19T07:04:55.535Z</dcterms:modified>
</cp:coreProperties>
</file>

<file path=docProps/custom.xml><?xml version="1.0" encoding="utf-8"?>
<Properties xmlns="http://schemas.openxmlformats.org/officeDocument/2006/custom-properties" xmlns:vt="http://schemas.openxmlformats.org/officeDocument/2006/docPropsVTypes"/>
</file>