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Medical and Support-Service Equipment Programme</w:t>
      </w:r>
    </w:p>
    <w:p>
      <w:r>
        <w:t>«Hospital Name» — Supports FMS.3.a-g</w:t>
      </w:r>
    </w:p>
    <w:p/>
    <w:p/>
    <w:p/>
    <w:tbl>
      <w:tblPr>
        <w:tblStyle w:val="TableGrid"/>
        <w:tblW w:type="auto" w:w="0"/>
        <w:tblLook w:firstColumn="1" w:firstRow="1" w:lastColumn="0" w:lastRow="0" w:noHBand="0" w:noVBand="1" w:val="04A0"/>
      </w:tblPr>
      <w:tblGrid>
        <w:gridCol w:w="8640"/>
      </w:tblGrid>
      <w:tr>
        <w:tc>
          <w:tcPr>
            <w:tcW w:type="dxa" w:w="8640"/>
          </w:tcPr>
          <w:p>
            <w:r>
              <w:t>This SOP tells biomedical, engineering, clinical and quality staff, in one place, how this hospital plans, inventories, maintains, calibrates, staffs, monitors for recalls, and tracks downtime of every piece of medical and support-service equipment it runs. If you operate a device, maintain one, sign off a PPM job card, or hold the inventory, this SOP is for you.</w:t>
            </w:r>
          </w:p>
        </w:tc>
      </w:tr>
    </w:tbl>
    <w:p/>
    <w:tbl>
      <w:tblPr>
        <w:tblStyle w:val="TableGrid"/>
        <w:tblW w:type="auto" w:w="0"/>
        <w:tblLook w:firstColumn="1" w:firstRow="1" w:lastColumn="0" w:lastRow="0" w:noHBand="0" w:noVBand="1" w:val="04A0"/>
      </w:tblPr>
      <w:tblGrid>
        <w:gridCol w:w="8640"/>
      </w:tblGrid>
      <w:tr>
        <w:tc>
          <w:tcPr>
            <w:tcW w:type="dxa" w:w="8640"/>
          </w:tcPr>
          <w:p>
            <w:r>
              <w:t>A ward nurse reports an infusion pump alarming erratically at 11pm. This SOP is what tells them which log to report it in, who attends, whether a loaner is available while it is down, and that the downtime clock runs from the report, not from when the engineer happens to arrive.</w:t>
            </w:r>
          </w:p>
        </w:tc>
      </w:tr>
    </w:tbl>
    <w:p/>
    <w:tbl>
      <w:tblPr>
        <w:tblStyle w:val="TableGrid"/>
        <w:tblW w:type="auto" w:w="0"/>
        <w:tblLook w:firstColumn="1" w:firstRow="1" w:lastColumn="0" w:lastRow="0" w:noHBand="0" w:noVBand="1" w:val="04A0"/>
      </w:tblPr>
      <w:tblGrid>
        <w:gridCol w:w="8640"/>
      </w:tblGrid>
      <w:tr>
        <w:tc>
          <w:tcPr>
            <w:tcW w:type="dxa" w:w="8640"/>
          </w:tcPr>
          <w:p>
            <w:r>
              <w:t>NABH requires equipment planning matched to services, an inventory with logs, an implemented maintenance plan (Core, asterisked), periodic inspection and calibration, qualified operators and maintainers, monitoring of adverse events and recalls (Achievement, asterisked), and downtime tracking for critical equipment.</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p>
      <w:r>
        <w:t>To define how «Hospital Name» plans, inventories, maintains, calibrates, staffs, and monitors recalls and downtime for every piece of medical and support-service equipment it runs, matched to the services in the AAC.1 directory and the ROM.3.a strategic plan.</w:t>
      </w:r>
    </w:p>
    <w:p>
      <w:pPr>
        <w:pStyle w:val="Heading1"/>
      </w:pPr>
      <w:r>
        <w:t>2. Scope</w:t>
      </w:r>
    </w:p>
    <w:p>
      <w:r>
        <w:t>Applies to every medical and support-service equipment item at {{HOSPITAL_NAME}}, owned, loaned, consigned or outsourced. It does not cover steriliser process validation (HIC.6), laboratory/imaging calibration no-report rules (AAC.4.h, AAC.5.i), implant traceability (MOM.9), or the crash-cart checklist (COP.3) -- those remain their own documents and are only pointed to here where this SOP's steps hand work to them.</w:t>
      </w:r>
    </w:p>
    <w:p>
      <w:pPr>
        <w:pStyle w:val="Heading1"/>
      </w:pPr>
      <w:r>
        <w:t>3. Responsibility</w:t>
      </w:r>
    </w:p>
    <w:p>
      <w:r>
        <w:t>Head of the Institution: Is accountable that the medical and support-service equipment programme runs as this SOP requires.</w:t>
      </w:r>
    </w:p>
    <w:p>
      <w:r>
        <w:t>Named Biomedical/Engineering Lead: Holds the inventory, PPM, calibration, recall and downtime records.</w:t>
      </w:r>
    </w:p>
    <w:p>
      <w:r>
        <w:t>Clinical Heads: Do not let staff operate a device they are not trained for, and do not issue a laboratory or imaging report from an overdue calibrator (AAC.4.h, AAC.5.i).</w:t>
      </w:r>
    </w:p>
    <w:p>
      <w:r>
        <w:t>Quality/Accreditation Coordinator: Audits a sample of the records this SOP produces, at «Hospital to define» frequency.</w:t>
      </w:r>
    </w:p>
    <w:p>
      <w:r>
        <w:t>All Staff: Treat an uninventoried device in use, an overdue calibrator still in service, or a recall that did not reach the ward, as defects to report.</w:t>
      </w:r>
    </w:p>
    <w:p>
      <w:pPr>
        <w:pStyle w:val="Heading1"/>
      </w:pPr>
      <w:r>
        <w:t>4. Procedure</w:t>
      </w:r>
    </w:p>
    <w:p>
      <w:pPr>
        <w:pStyle w:val="Heading2"/>
      </w:pPr>
      <w:r>
        <w:t>4.1 Planning equipment against services and the strategic plan (FMS.3.a)</w:t>
      </w:r>
    </w:p>
    <w:p>
      <w:r>
        <w:t>Why this step matters: Equipment bought without reference to the AAC.1 service directory or the ROM.3.a strategic plan is how a hospital ends up with devices for services it doesn't run, and no plan for the ones it does -- this step is the match between the two.</w:t>
      </w:r>
    </w:p>
    <w:p>
      <w:r>
        <w:t>1. The organisation plans for medical and support-service equipment in accordance with its services (AAC.1) and strategic plan and budget approval (ROM.3.a), including replacement of condemned items (FMS.2.f).</w:t>
      </w:r>
    </w:p>
    <w:p>
      <w:r>
        <w:t>2. «Hospital to define how medical and support-service equipment is planned against the AAC.1 directory and ROM.3.a strategy» -- who signs that a new service has the equipment it needs before it is offered, and how a gap is recorded.</w:t>
      </w:r>
    </w:p>
    <w:p>
      <w:r>
        <w:t>3. Equipment for a service the AAC.1 directory does not list is not planned under this step.</w:t>
      </w:r>
    </w:p>
    <w:p>
      <w:r>
        <w:t xml:space="preserve">Technical source(s) for these steps: </w:t>
      </w:r>
    </w:p>
    <w:p>
      <w:pPr>
        <w:pStyle w:val="ListParagraph"/>
      </w:pPr>
      <w:r>
        <w:t>• National Health Mission. Biomedical Equipment Management and Maintenance Programme (BEMMP).</w:t>
      </w:r>
    </w:p>
    <w:p>
      <w:pPr>
        <w:pStyle w:val="ListParagraph"/>
      </w:pPr>
      <w:r>
        <w:t>• National Health Mission. (2022). Indian Public Health Standards.</w:t>
      </w:r>
    </w:p>
    <w:p>
      <w:pPr>
        <w:pStyle w:val="Heading2"/>
      </w:pPr>
      <w:r>
        <w:t>4.2 Inventory and logs (FMS.3.b)</w:t>
      </w:r>
    </w:p>
    <w:p>
      <w:r>
        <w:t>Why this step matters: A device in clinical use that is not on the inventory cannot be maintained, calibrated or recalled against -- this step is what makes every other step in this SOP possible.</w:t>
      </w:r>
    </w:p>
    <w:p>
      <w:r>
        <w:t>1. Medical equipment and support-service equipment are inventoried, and proper logs are maintained, identifying each item that can harm a patient if it fails or is missing: unique identifier, location, owner department, criticality, and whether it is owned, loaned, consigned or outsourced.</w:t>
      </w:r>
    </w:p>
    <w:p>
      <w:r>
        <w:t>2. Logs are the running record (acceptance, PPM, breakdown, calibration due) -- AAC.4/AAC.5 specialty registers do not replace this hospital-wide inventory, and a crash-cart checklist (COP.3) does not replace the defibrillator's own equipment file.</w:t>
      </w:r>
    </w:p>
    <w:p>
      <w:r>
        <w:t>3. «Hospital to define what is on the inventory, what a log contains, and how a loaner or outsourced analyser is still listed» -- an item in use that is not on the inventory is a defect.</w:t>
      </w:r>
    </w:p>
    <w:p>
      <w:pPr>
        <w:pStyle w:val="Heading2"/>
      </w:pPr>
      <w:r>
        <w:t>4.3 Operational and maintenance (preventive and breakdown) plan implemented (FMS.3.c, Core, ASTERISKED)</w:t>
      </w:r>
    </w:p>
    <w:p>
      <w:r>
        <w:t>Why this step matters: This is the programme's centre and the chapter's first documented-evidence anchor -- an assessor asks to see the plan, then to see that last month's PPM and last week's breakdown actually happened. A binder of manufacturer PDFs or a sticker with no job card is not an implemented plan.</w:t>
      </w:r>
    </w:p>
    <w:p>
      <w:r>
        <w:t>1. The documented operational and maintenance (preventive and breakdown) plan for medical and support-service equipment is implemented -- not merely written.</w:t>
      </w:r>
    </w:p>
    <w:p>
      <w:r>
        <w:t>2. BEMMP is the Indian public-sector framework for criticality-based PPM intervals, user-level care, and workshop/vendor breakdown; it is not a mandate to outsource to a named NHM agency. Manufacturer instructions inform the task list; they do not substitute for a hospital plan naming who does the work.</w:t>
      </w:r>
    </w:p>
    <w:p>
      <w:r>
        <w:t>3. «Hospital to define the documented operational and maintenance (preventive and breakdown) plan and how implementation is evidenced» -- the operational plan (who may operate which class), the preventive plan (task, interval by criticality, who attends, what is recorded), the breakdown plan (how a user reports, who attends, cannibalisation rule, loaner rule), and proof of implementation on a sample of critical items.</w:t>
      </w:r>
    </w:p>
    <w:p>
      <w:r>
        <w:t>4. HIC.6 remains steriliser process validation; AAC.4.h and AAC.5.i remain the no-report-from-overdue-calibrator rules -- this step does not restate either.</w:t>
      </w:r>
    </w:p>
    <w:p>
      <w:r>
        <w:t xml:space="preserve">Technical source(s) for these steps: </w:t>
      </w:r>
    </w:p>
    <w:p>
      <w:pPr>
        <w:pStyle w:val="ListParagraph"/>
      </w:pPr>
      <w:r>
        <w:t>• National Health Mission. Biomedical Equipment Management and Maintenance Programme (BEMMP).</w:t>
      </w:r>
    </w:p>
    <w:p>
      <w:pPr>
        <w:pStyle w:val="Heading2"/>
      </w:pPr>
      <w:r>
        <w:t>4.4 Periodic inspection and calibration (FMS.3.d)</w:t>
      </w:r>
    </w:p>
    <w:p>
      <w:r>
        <w:t>Why this step matters: Inspection confirms a device is safe to use; calibration confirms it measures correctly against a traceable standard -- confusing the two means a device can look safe while silently measuring wrong.</w:t>
      </w:r>
    </w:p>
    <w:p>
      <w:r>
        <w:t>1. Inspection is the in-service check that the item is safe to use (housing, leads, alarms, accessories). Calibration is the measurement against a traceable standard for items that measure or deliver a quantity (monitors, defibrillator energy, infusion pumps, OT table scales, laboratory instruments as inventory items).</w:t>
      </w:r>
    </w:p>
    <w:p>
      <w:r>
        <w:t>2. AAC.4.h still forbids issuing a laboratory result from an overdue or failed calibrator; AAC.5.i still forbids an imaging report from an overdue AERB-QA device -- this step is that those due dates live on the hospital programme, and that non-lab, non-imaging measuring devices are also calibrated.</w:t>
      </w:r>
    </w:p>
    <w:p>
      <w:r>
        <w:t>3. «Hospital to define which items require calibration versus inspection-only, the interval, the traceable standard or vendor, and the rule that an overdue measuring device is withdrawn until passed» -- BEMMP criticality informs interval; it is not a NABH universal calendar, and this step does not invent a SHCO-wide six-month calibration mandate.</w:t>
      </w:r>
    </w:p>
    <w:p>
      <w:pPr>
        <w:pStyle w:val="Heading2"/>
      </w:pPr>
      <w:r>
        <w:t>4.5 Qualified and trained personnel operate and maintain (FMS.3.e)</w:t>
      </w:r>
    </w:p>
    <w:p>
      <w:r>
        <w:t>Why this step matters: A visiting technician without a job card, or a nurse using an infusion pump they were never shown, is this step failing -- the device being present and working is not enough if the person touching it was never qualified to.</w:t>
      </w:r>
    </w:p>
    <w:p>
      <w:r>
        <w:t>1. Qualified and trained personnel operate and maintain medical and support-service equipment. Operators are the clinical or technical users; maintainers are biomedical/engineering or the contracted workshop.</w:t>
      </w:r>
    </w:p>
    <w:p>
      <w:r>
        <w:t>2. HRM (when drafted) owns the credentialing file; this step is that the person who pressed the button or opened the cover was qualified and trained for that class.</w:t>
      </w:r>
    </w:p>
    <w:p>
      <w:r>
        <w:t>3. «Hospital to define which roles may operate which class, which roles may maintain which class, and how training is recorded».</w:t>
      </w:r>
    </w:p>
    <w:p>
      <w:pPr>
        <w:pStyle w:val="Heading2"/>
      </w:pPr>
      <w:r>
        <w:t>4.6 Adverse events, hazard notices and recalls (FMS.3.f, Achievement, ASTERISKED)</w:t>
      </w:r>
    </w:p>
    <w:p>
      <w:r>
        <w:t>Why this step matters: This is the chapter's second documented-evidence anchor -- an assessor asks what was the last device adverse event, the last manufacturer or CDSCO hazard notice, and what this hospital did about it. A letter in the quality office that never reached the user is not monitoring.</w:t>
      </w:r>
    </w:p>
    <w:p>
      <w:r>
        <w:t>1. There is monitoring of medical equipment and medical devices related to adverse events, and compliance with hazard notices on recalls -- this is the after-market safety net, distinct from FMS.3.c's planned maintenance.</w:t>
      </w:r>
    </w:p>
    <w:p>
      <w:r>
        <w:t>2. CDSCO Medical Devices and Diagnostics, and the Medical Devices Rules 2017 read with the Drugs and Cosmetics Act 1940, are the Indian regulatory framework for device adverse events and recalls insofar as they apply to devices this hospital uses -- this hospital is not a manufacturer.</w:t>
      </w:r>
    </w:p>
    <w:p>
      <w:r>
        <w:t>3. «Hospital to define how a device-related adverse event is captured (dual entry with PSQ.5 when a patient was harmed; MOM.7 when it is also a medication-delivery event), how hazard notices and recalls are received, how the inventory is searched, how affected items are quarantined and returned or destroyed, and who signs compliance».</w:t>
      </w:r>
    </w:p>
    <w:p>
      <w:r>
        <w:t>4. A recall filed against a serial number that is not on the inventory, or a recalled infusion set left in the ward because "stores will collect it", is a failure of this step. An empty recall log is acceptable only if the inventory search was still run when a notice named a type this hospital holds.</w:t>
      </w:r>
    </w:p>
    <w:p>
      <w:r>
        <w:t xml:space="preserve">Technical source(s) for these steps: </w:t>
      </w:r>
    </w:p>
    <w:p>
      <w:pPr>
        <w:pStyle w:val="ListParagraph"/>
      </w:pPr>
      <w:r>
        <w:t>• Central Drugs Standard Control Organisation. Medical Devices and Diagnostics.</w:t>
      </w:r>
    </w:p>
    <w:p>
      <w:pPr>
        <w:pStyle w:val="ListParagraph"/>
      </w:pPr>
      <w:r>
        <w:t>• Government of India. (2017). Medical Devices Rules, 2017, read with the Drugs and Cosmetics Act, 1940.</w:t>
      </w:r>
    </w:p>
    <w:p>
      <w:pPr>
        <w:pStyle w:val="Heading2"/>
      </w:pPr>
      <w:r>
        <w:t>4.7 Critical-equipment downtime (FMS.3.g)</w:t>
      </w:r>
    </w:p>
    <w:p>
      <w:r>
        <w:t>Why this step matters: A breakdown register that records the engineer's arrival but not the hours the OT list was stopped is not downtime monitoring -- the clock that matters is the one that runs from when the user reported the failure, not from when someone finally showed up.</w:t>
      </w:r>
    </w:p>
    <w:p>
      <w:r>
        <w:t>1. Downtime for critical equipment breakdown is monitored from reporting to inspection and implementation of corrective actions. Critical equipment is the subset of the inventory whose failure stops a defined service (ventilator, anaesthesia workstation, autoclave as equipment, imaging device, clinical analyser, blood-bank refrigerator, and others this hospital names).</w:t>
      </w:r>
    </w:p>
    <w:p>
      <w:r>
        <w:t>2. Downtime starts when the user reports and ends when the item is inspected and corrective action has restored it, or a defined alternative is in place (loaner, diversion under AAC.2/AAC.7, recorded service pause).</w:t>
      </w:r>
    </w:p>
    <w:p>
      <w:r>
        <w:t>3. «Hospital to define the critical-equipment list and downtime monitoring from report to inspection and corrective action». PSQ.2 may use the downtime rate as an indicator; this document owns the clock. A diverted service remains AAC.1/AAC.2 -- this clock still runs while it is diverted.</w:t>
      </w:r>
    </w:p>
    <w:p>
      <w:pPr>
        <w:pStyle w:val="Heading1"/>
      </w:pPr>
      <w:r>
        <w:t>5. Records</w:t>
      </w:r>
    </w:p>
    <w:p>
      <w:r>
        <w:t>This SOP produces and maintains Records 1-7 (see the FMS.3 Records folder).</w:t>
      </w:r>
    </w:p>
    <w:p>
      <w:pPr>
        <w:pStyle w:val="Heading1"/>
      </w:pPr>
      <w:r>
        <w:t>6. Related Documents</w:t>
      </w:r>
    </w:p>
    <w:p>
      <w:pPr>
        <w:pStyle w:val="ListParagraph"/>
      </w:pPr>
      <w:r>
        <w:t>Policy — Medical and Support-Service Equipment Programme (FMS.3)</w:t>
      </w:r>
    </w:p>
    <w:p>
      <w:pPr>
        <w:pStyle w:val="ListParagraph"/>
      </w:pPr>
      <w:r>
        <w:t>Hospital's Service Directory (AAC.1)</w:t>
      </w:r>
    </w:p>
    <w:p>
      <w:pPr>
        <w:pStyle w:val="ListParagraph"/>
      </w:pPr>
      <w:r>
        <w:t>Hospital's Strategic Plan and Budget Approval (ROM.3.a)</w:t>
      </w:r>
    </w:p>
    <w:p>
      <w:pPr>
        <w:pStyle w:val="ListParagraph"/>
      </w:pPr>
      <w:r>
        <w:t>Hospital's Steriliser Process Validation SOP (HIC.6)</w:t>
      </w:r>
    </w:p>
    <w:p>
      <w:pPr>
        <w:pStyle w:val="ListParagraph"/>
      </w:pPr>
      <w:r>
        <w:t>Hospital's Laboratory and Imaging Calibration No-Report Rules (AAC.4.h, AAC.5.i)</w:t>
      </w:r>
    </w:p>
    <w:p>
      <w:pPr>
        <w:pStyle w:val="ListParagraph"/>
      </w:pPr>
      <w:r>
        <w:t>Hospital's Implant Traceability SOP (MOM.9)</w:t>
      </w:r>
    </w:p>
    <w:p>
      <w:pPr>
        <w:pStyle w:val="ListParagraph"/>
      </w:pPr>
      <w:r>
        <w:t>Hospital's Crash-Cart Checklist (COP.3)</w:t>
      </w:r>
    </w:p>
    <w:p>
      <w:pPr>
        <w:pStyle w:val="Heading1"/>
      </w:pPr>
      <w:r>
        <w:t>7. Where This SOP's Requirements Come From (Verified Sources)</w:t>
      </w:r>
    </w:p>
    <w:p>
      <w:pPr>
        <w:pStyle w:val="ListParagraph"/>
      </w:pPr>
      <w:r>
        <w:t>• National Accreditation Board for Hospitals and Healthcare Providers. (2022). Standards for Small Healthcare Organisations (3rd ed.). NABH SHCO Accreditation Programme page. Facility Management and Safety chapter, standard FMS.3.</w:t>
      </w:r>
    </w:p>
    <w:p>
      <w:pPr>
        <w:pStyle w:val="ListParagraph"/>
      </w:pPr>
      <w:r>
        <w:t>• National Health Mission. Biomedical Equipment Management and Maintenance Programme (BEMMP). PPM/inventory/criticality framework, not a named-contract mandate.</w:t>
      </w:r>
    </w:p>
    <w:p>
      <w:pPr>
        <w:pStyle w:val="ListParagraph"/>
      </w:pPr>
      <w:r>
        <w:t>• Central Drugs Standard Control Organisation. Medical Devices and Diagnostics.</w:t>
      </w:r>
    </w:p>
    <w:p>
      <w:pPr>
        <w:pStyle w:val="ListParagraph"/>
      </w:pPr>
      <w:r>
        <w:t>• Government of India. (2017). Medical Devices Rules, 2017, read with the Drugs and Cosmetics Act, 1940. Indian regulatory instrument for device adverse events and recalls insofar as they apply to devices this hospital uses; this hospital is not a manufacturer.</w:t>
      </w:r>
    </w:p>
    <w:p>
      <w:pPr>
        <w:pStyle w:val="ListParagraph"/>
      </w:pPr>
      <w:r>
        <w:t>• National Health Mission. (2022). Indian Public Health Standards. Planning framework, not a NABH equipment-list mandate.</w:t>
      </w:r>
    </w:p>
    <w:p>
      <w:pPr>
        <w:pStyle w:val="Heading1"/>
      </w:pPr>
      <w:r>
        <w:t>8. Review</w:t>
      </w:r>
    </w:p>
    <w:p>
      <w:r>
        <w:t>This policy is reviewed at «Hospital to define the review interval for this policy», and sooner when a recall was missed, or when AAC.4, AAC.5, AAC.6, HIC.6, FMS.1, FMS.2, FMS.4, COP.3 or MOM.9 that this document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