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Planned Facilities, Utilities and Environment-Friendly Measures</w:t>
      </w:r>
    </w:p>
    <w:p>
      <w:r>
        <w:t>«Hospital Name» — Supports FMS.1.a-f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tells facilities, engineering, clinical and quality staff, in one place, how this hospital keeps its built space matched to what it actually treats; keeps potable water and electricity live around the clock, including at night; proves its backup sources actually carry load rather than just crank once a week; and records real energy and environment initiatives instead of a green-hospital poster. If you hold drawings, watch utilities, run a backup test, or own the energy file, this SOP is for you.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night-shift engineer finds the OT scrub sink dry at 2am. This SOP is what tells them which record to check (the potable-water availability log), what counts as a failure of this standard (a dry point of use regardless of what the roof tank shows on paper), and which alternate source should have carried it -- and that the alternate source's last loaded test, not just its last no-load crank, is what proves it should have worked.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NABH requires that facilities match the services actually provided, that potable water and electricity are available round the clock (a Core requirement), that backup sources exist and are tested at a predefined frequency, and that the organisation takes real initiatives toward an energy-efficient and environment-friendly hospital (the chapter's asterisked, documented-evidence element).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SOP-FMS.1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p>
      <w:r>
        <w:t>To define how «Hospital Name» keeps its physical facilities, drawings, wayfinding, potable water, electricity and their backups matched to the services it actually runs, available round the clock, and genuinely tested -- and how it records real initiatives toward an energy-efficient and environment-friendly hospital, rather than a certificate on a wall.</w:t>
      </w:r>
    </w:p>
    <w:p>
      <w:pPr>
        <w:pStyle w:val="Heading1"/>
      </w:pPr>
      <w:r>
        <w:t>2. Scope</w:t>
      </w:r>
    </w:p>
    <w:p>
      <w:r>
        <w:t>Applies to every area of {{HOSPITAL_NAME}} that depends on built space, potable water or electricity: clinical, diagnostic, utility, storage and staff areas alike. It does not cover medical and support-service equipment (FMS.3), medical gases (FMS.4), fire and non-fire emergency response (FMS.5), radiation/PC-PNDT signage (AAC.6.e), or biomedical-waste colour coding and transport (HIC.3) -- those remain their own documents and are only pointed to here where this SOP's steps hand work to them.</w:t>
      </w:r>
    </w:p>
    <w:p>
      <w:pPr>
        <w:pStyle w:val="Heading1"/>
      </w:pPr>
      <w:r>
        <w:t>3. Responsibility</w:t>
      </w:r>
    </w:p>
    <w:p>
      <w:r>
        <w:t>Head of the Institution: Is accountable that facilities operate as this SOP requires.</w:t>
      </w:r>
    </w:p>
    <w:p>
      <w:r>
        <w:t>Named Facilities/Engineering Lead: Holds drawings, utility availability and quality-test records, loaded backup-test records, and the energy-initiative file.</w:t>
      </w:r>
    </w:p>
    <w:p>
      <w:r>
        <w:t>Clinical Heads: Confirm that built space still matches the services their department actually runs against the AAC.1 service directory.</w:t>
      </w:r>
    </w:p>
    <w:p>
      <w:r>
        <w:t>Quality/Accreditation Coordinator: Audits a sample of the records this SOP produces, at the frequency «Hospital to define» sets, and flags a mismatch rather than filing it.</w:t>
      </w:r>
    </w:p>
    <w:p>
      <w:r>
        <w:t>All Staff: Treat a dark essential circuit, a dry clinical tap, a drawing that does not match the floor, or a green poster with no initiative behind it, as defects to report, not as someone else's problem.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Facilities and space provisions appropriate to the scope of services (FMS.1.a)</w:t>
      </w:r>
    </w:p>
    <w:p>
      <w:r>
        <w:t>Why this step matters: A floor plate copied from another hospital, or a corridor pressed into service as a ward, is the failure this step exists to catch -- not the absence of a plan, but a plan that no longer matches what is actually treated here.</w:t>
      </w:r>
    </w:p>
    <w:p>
      <w:r>
        <w:t>1. The AAC.1 service directory is the single source of what this hospital actually provides; this step is the built match to it -- waiting, clinical, diagnostic, utility, storage and staff space that can physically hold those services without using a sluice as a sterile store or a corridor as a ward.</w:t>
      </w:r>
    </w:p>
    <w:p>
      <w:r>
        <w:t>2. «Hospital to define how facilities and space are shown to be appropriate to the defined scope of services», using IPHS 2022 and NBC 2016 occupancy as frameworks, not bed-count mandates.</w:t>
      </w:r>
    </w:p>
    <w:p>
      <w:r>
        <w:t>3. A service the AAC.1 directory does not list is a recorded absence here, not a gap to be explained away.</w:t>
      </w:r>
    </w:p>
    <w:p>
      <w:r>
        <w:t>4. Who records a mismatch, and what happens when a service is added to or withdrawn from the directory, follows the same «Hospital to define» process as step 2.</w:t>
      </w:r>
    </w:p>
    <w:p>
      <w:r>
        <w:t xml:space="preserve">Technical source(s) for these steps: </w:t>
      </w:r>
    </w:p>
    <w:p>
      <w:pPr>
        <w:pStyle w:val="ListParagraph"/>
      </w:pPr>
      <w:r>
        <w:t xml:space="preserve">• </w:t>
      </w:r>
      <w:r>
        <w:t xml:space="preserve">National Health Mission. (2022). </w:t>
      </w:r>
      <w:hyperlink r:id="rId9">
        <w:r>
          <w:rPr>
            <w:color w:val="0563C1"/>
            <w:u w:val="single"/>
          </w:rPr>
          <w:t>Indian Public Health Standards</w:t>
        </w:r>
      </w:hyperlink>
      <w:r>
        <w:t>.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10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>
      <w:pPr>
        <w:pStyle w:val="Heading2"/>
      </w:pPr>
      <w:r>
        <w:t>4.2 As-built and updated drawings maintained per statutory requirements (FMS.1.b)</w:t>
      </w:r>
    </w:p>
    <w:p>
      <w:r>
        <w:t>Why this step matters: A consultant's drawing that was never marked as-built, or a brochure floor plan, is not this OE -- a building or fire authority inspecting this hospital needs the set that matches what was actually built and last changed.</w:t>
      </w:r>
    </w:p>
    <w:p>
      <w:r>
        <w:t>1. The controlled as-built set covers architectural, structural, electrical single-line, plumbing/water, fire/detection (used by FMS.5) and medical-gas (used by FMS.4 where a piped system exists) drawings.</w:t>
      </w:r>
    </w:p>
    <w:p>
      <w:r>
        <w:t>2. «Hospital to define the as-built and updated drawings maintained as statutory and occupancy requirements require», using NBC 2016 as the local building-and-fire-authority framework.</w:t>
      </w:r>
    </w:p>
    <w:p>
      <w:r>
        <w:t>3. The set is updated whenever the building or a major service run changes -- an update log, not a one-time filing, is what this step produces.</w:t>
      </w:r>
    </w:p>
    <w:p>
      <w:r>
        <w:t>4. Named facilities lead holds the controlled set; FMS.4 and FMS.5 are users of specific sheets, not second masters of this record.</w:t>
      </w:r>
    </w:p>
    <w:p>
      <w:r>
        <w:t xml:space="preserve">Technical source(s) for these steps: 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10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>
      <w:pPr>
        <w:pStyle w:val="Heading2"/>
      </w:pPr>
      <w:r>
        <w:t>4.3 Internal and external sign postings understood by patients, families and the community (FMS.1.c)</w:t>
      </w:r>
    </w:p>
    <w:p>
      <w:r>
        <w:t>Why this step matters: A first-time family that cannot find the entrance, registration, toilets, lifts, wards or exit -- in a language they actually read -- is the failure this step exists to catch. A sign nobody can read is a sign that was never posted.</w:t>
      </w:r>
    </w:p>
    <w:p>
      <w:r>
        <w:t>1. «Hospital to define internal and external sign postings in a manner understood by patients, families and the community» -- including which languages and scripts this hospital's actual patient population needs.</w:t>
      </w:r>
    </w:p>
    <w:p>
      <w:r>
        <w:t>2. Wayfinding is inspected for faded, missing or contradictory signs at the audit interval set in step 7 of this SOP.</w:t>
      </w:r>
    </w:p>
    <w:p>
      <w:r>
        <w:t>3. AAC.6.e radiation/PC-PNDT signage and FMS.5.b emergency exit displays are separate documents; this step must be consistent with both but does not duplicate or replace either.</w:t>
      </w:r>
    </w:p>
    <w:p>
      <w:pPr>
        <w:pStyle w:val="Heading2"/>
      </w:pPr>
      <w:r>
        <w:t>4.4 Potable water and electricity available round the clock (FMS.1.d, Core)</w:t>
      </w:r>
    </w:p>
    <w:p>
      <w:r>
        <w:t>Why this step matters: A roof tank that is full on paper while the OT scrub is dry because a valve is shut, or a live incoming meter while a theatre is dark because a changeover never closed, is this OE failing -- availability is judged at 3am, not only at the morning check.</w:t>
      </w:r>
    </w:p>
    <w:p>
      <w:r>
        <w:t>1. Points of use for drinking, clinical wash, kitchen (owned by HIC.3, used here only as a utility point), CSSD (if present) and dialysis (if present) must actually deliver water on demand, day and night.</w:t>
      </w:r>
    </w:p>
    <w:p>
      <w:r>
        <w:t>2. «Hospital to define potable-water quality-testing parameters, sample points and interval», using WHO GDWQ 4th edition as the testing framework -- never as a pasted protocol or an invented NABH interval.</w:t>
      </w:r>
    </w:p>
    <w:p>
      <w:r>
        <w:t>3. Dialysis water, only where dialysis is in the AAC.1 directory, follows «Hospital to define» using Coulliette &amp; Arduino (2013) as the haemodialysis-water framework; where dialysis is not provided, that is a recorded absence.</w:t>
      </w:r>
    </w:p>
    <w:p>
      <w:r>
        <w:t>4. Essential clinical and life-safety circuits -- at minimum emergency, OT, labour, ICU/HDU, nursery and blood bank where present, ventilators and their compressors, emergency lighting, fire detection (FMS.5), and medical-gas plant/manifold alarms (FMS.4) -- remain energised at all times.</w:t>
      </w:r>
    </w:p>
    <w:p>
      <w:r>
        <w:t>5. «Hospital to define how round-the-clock availability is watched, recorded and restored», covering night and holiday coverage, not only daytime checks.</w:t>
      </w:r>
    </w:p>
    <w:p>
      <w:r>
        <w:t xml:space="preserve">Technical source(s) for these steps: </w:t>
      </w:r>
    </w:p>
    <w:p>
      <w:pPr>
        <w:pStyle w:val="ListParagraph"/>
      </w:pPr>
      <w:r>
        <w:t xml:space="preserve">• </w:t>
      </w:r>
      <w:r>
        <w:t xml:space="preserve">World Health Organization. (2011). </w:t>
      </w:r>
      <w:hyperlink r:id="rId11">
        <w:r>
          <w:rPr>
            <w:color w:val="0563C1"/>
            <w:u w:val="single"/>
          </w:rPr>
          <w:t>Guidelines for Drinking-water Quality (4th ed.)</w:t>
        </w:r>
      </w:hyperlink>
      <w:r>
        <w:t>.</w:t>
      </w:r>
    </w:p>
    <w:p>
      <w:pPr>
        <w:pStyle w:val="ListParagraph"/>
      </w:pPr>
      <w:r>
        <w:t xml:space="preserve">• </w:t>
      </w:r>
      <w:r>
        <w:t xml:space="preserve">Coulliette, A. D., &amp; Arduino, M. J. (2013). </w:t>
      </w:r>
      <w:hyperlink r:id="rId12">
        <w:r>
          <w:rPr>
            <w:color w:val="0563C1"/>
            <w:u w:val="single"/>
          </w:rPr>
          <w:t>Hemodialysis and water quality</w:t>
        </w:r>
      </w:hyperlink>
      <w:r>
        <w:t>. Seminars in Dialysis, 26(4), 427-438.</w:t>
      </w:r>
    </w:p>
    <w:p>
      <w:pPr>
        <w:pStyle w:val="Heading2"/>
      </w:pPr>
      <w:r>
        <w:t>4.5 Alternate sources for electricity and water, tested at a predefined frequency (FMS.1.e)</w:t>
      </w:r>
    </w:p>
    <w:p>
      <w:r>
        <w:t>Why this step matters: A weekly no-load crank proves the starter motor, not that the generator will carry theatre, ICU and emergency lighting together -- and a sealed tanker contract with no night number is not a backup. A start-only test is not a functioning test.</w:t>
      </w:r>
    </w:p>
    <w:p>
      <w:r>
        <w:t>1. Alternate electricity is the source that carries the essential circuits named in step 4 above when incoming supply fails or is shed: diesel generator, UPS/inverter for circuits that cannot tolerate a start delay, and any automatic mains-failure changeover installed.</w:t>
      </w:r>
    </w:p>
    <w:p>
      <w:r>
        <w:t>2. «Hospital to define the alternate-electricity source, essential-circuit list, loaded-test method and predefined test frequency» -- a loaded test under the essential-circuit load, not the workshop socket, with someone present to see a changeover failure before it becomes a night outage.</w:t>
      </w:r>
    </w:p>
    <w:p>
      <w:r>
        <w:t>3. Alternate water is the source that actually moves water to points of use when the municipal or borewell supply fails: reserve tanks with working float valves, a second borewell if available, a tanker contract that can deliver at night, and pumps that auto-start.</w:t>
      </w:r>
    </w:p>
    <w:p>
      <w:r>
        <w:t>4. «Hospital to define the alternate-water source, the test that proves water actually moves, and the predefined test frequency» -- a tank-to-tap movement or pump auto-start record, not a sealed MoU.</w:t>
      </w:r>
    </w:p>
    <w:p>
      <w:r>
        <w:t>5. A utility failure that becomes a declared emergency is handed to FMS.5; this step is the test that happens before that night, not the emergency response itself.</w:t>
      </w:r>
    </w:p>
    <w:p>
      <w:r>
        <w:t xml:space="preserve">Technical source(s) for these steps: 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10">
        <w:r>
          <w:rPr>
            <w:color w:val="0563C1"/>
            <w:u w:val="single"/>
          </w:rPr>
          <w:t>National Building Code of India, 2016</w:t>
        </w:r>
      </w:hyperlink>
      <w:r>
        <w:t xml:space="preserve"> (as the framework pointing to IS 732 wiring practice and IS 3043 earthing).</w:t>
      </w:r>
    </w:p>
    <w:p>
      <w:pPr>
        <w:pStyle w:val="Heading2"/>
      </w:pPr>
      <w:r>
        <w:t>4.6 Energy-efficient and environment-friendly initiatives (FMS.1.f, Excellence, ASTERISKED)</w:t>
      </w:r>
    </w:p>
    <w:p>
      <w:r>
        <w:t>Why this step matters: This is the chapter's documented-evidence anchor -- an assessor will ask what was actually done, what it measured, and what changed. A filed electricity bill, a tree-planting photograph, or a single LED retrofit offered as the whole programme, is not an initiative with a result. Equally, shutting HVAC in clinical areas in the name of efficiency is not this OE -- it is FMS.1.d availability failing.</w:t>
      </w:r>
    </w:p>
    <w:p>
      <w:r>
        <w:t>1. «Hospital to define the energy-efficient and environment-friendly initiatives this hospital actually runs this year», each with a named owner, a baseline, and a recorded result -- not a poster.</w:t>
      </w:r>
    </w:p>
    <w:p>
      <w:r>
        <w:t>2. Dhillon (2015) is this chapter's green-hospital framework. It is not a mandate to hold a named green-building rating, not a pasted energy-audit form, and not authority to reduce clinical ventilation below what the hospital's services require.</w:t>
      </w:r>
    </w:p>
    <w:p>
      <w:r>
        <w:t>3. Eligible initiatives include measured electricity or fuel use, lighting or HVAC set-back in non-clinical hours, solar if installed, rainwater or condensate reuse if installed, segregation of municipal (non-biomedical) waste, and reduction of single-use non-clinical materials.</w:t>
      </w:r>
    </w:p>
    <w:p>
      <w:r>
        <w:t>4. HIC.3 remains the sole owner of biomedical-waste colour coding, transport and SPCB compliance -- this step does not restate or duplicate that SOP.</w:t>
      </w:r>
    </w:p>
    <w:p>
      <w:r>
        <w:t>5. An unused rooftop solar array, or an energy audit that produced no action, does not satisfy this step. A baseline that changed a measured result is what the audit at step 7 of this SOP looks for.</w:t>
      </w:r>
    </w:p>
    <w:p>
      <w:r>
        <w:t xml:space="preserve">Technical source(s) for these steps: </w:t>
      </w:r>
    </w:p>
    <w:p>
      <w:pPr>
        <w:pStyle w:val="ListParagraph"/>
      </w:pPr>
      <w:r>
        <w:t xml:space="preserve">• </w:t>
      </w:r>
      <w:r>
        <w:t xml:space="preserve">Dhillon, V. S., &amp; Kaur, D. (2015). </w:t>
      </w:r>
      <w:hyperlink r:id="rId13">
        <w:r>
          <w:rPr>
            <w:color w:val="0563C1"/>
            <w:u w:val="single"/>
          </w:rPr>
          <w:t>Green hospital and climate change: Their interrelationship and the way forward</w:t>
        </w:r>
      </w:hyperlink>
      <w:r>
        <w:t>. Journal of Clinical and Diagnostic Research.</w:t>
      </w:r>
    </w:p>
    <w:p>
      <w:pPr>
        <w:pStyle w:val="Heading1"/>
      </w:pPr>
      <w:r>
        <w:t>5. Records</w:t>
      </w:r>
    </w:p>
    <w:p>
      <w:r>
        <w:t>This SOP produces and maintains Records 1-6 (see the FMS.1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— Planned Facilities, Utilities and Environment-Friendly Measures (FMS.1)</w:t>
      </w:r>
    </w:p>
    <w:p>
      <w:pPr>
        <w:pStyle w:val="ListParagraph"/>
      </w:pPr>
      <w:r>
        <w:t>Hospital's Service Directory (AAC.1)</w:t>
      </w:r>
    </w:p>
    <w:p>
      <w:pPr>
        <w:pStyle w:val="ListParagraph"/>
      </w:pPr>
      <w:r>
        <w:t>Hospital's Radiation/PC-PNDT Signage Policy (AAC.6.e)</w:t>
      </w:r>
    </w:p>
    <w:p>
      <w:pPr>
        <w:pStyle w:val="ListParagraph"/>
      </w:pPr>
      <w:r>
        <w:t>Hospital's Medical and Support-Service Equipment Programme (FMS.3)</w:t>
      </w:r>
    </w:p>
    <w:p>
      <w:pPr>
        <w:pStyle w:val="ListParagraph"/>
      </w:pPr>
      <w:r>
        <w:t>Hospital's Medical Gases, Vacuum and Compressed Air SOP (FMS.4)</w:t>
      </w:r>
    </w:p>
    <w:p>
      <w:pPr>
        <w:pStyle w:val="ListParagraph"/>
      </w:pPr>
      <w:r>
        <w:t>Hospital's Fire and Non-Fire Emergencies SOP (FMS.5)</w:t>
      </w:r>
    </w:p>
    <w:p>
      <w:pPr>
        <w:pStyle w:val="ListParagraph"/>
      </w:pPr>
      <w:r>
        <w:t>Hospital's Support-Services Infection-Control Policy (HIC.3)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4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FMS.1.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10">
        <w:r>
          <w:rPr>
            <w:color w:val="0563C1"/>
            <w:u w:val="single"/>
          </w:rPr>
          <w:t>National Building Code of India, 2016</w:t>
        </w:r>
      </w:hyperlink>
      <w:r>
        <w:t>. Occupancy, means-of-egress and services-drawing framework as applied by the local building and fire authority; not a universal mandate.</w:t>
      </w:r>
    </w:p>
    <w:p>
      <w:pPr>
        <w:pStyle w:val="ListParagraph"/>
      </w:pPr>
      <w:r>
        <w:t xml:space="preserve">• </w:t>
      </w:r>
      <w:r>
        <w:t xml:space="preserve">World Health Organization. (2011). </w:t>
      </w:r>
      <w:hyperlink r:id="rId11">
        <w:r>
          <w:rPr>
            <w:color w:val="0563C1"/>
            <w:u w:val="single"/>
          </w:rPr>
          <w:t>Guidelines for Drinking-water Quality (4th ed.)</w:t>
        </w:r>
      </w:hyperlink>
      <w:r>
        <w:t>. Potable-water quality-testing framework, not a pasted protocol or a NABH interval.</w:t>
      </w:r>
    </w:p>
    <w:p>
      <w:pPr>
        <w:pStyle w:val="ListParagraph"/>
      </w:pPr>
      <w:r>
        <w:t xml:space="preserve">• </w:t>
      </w:r>
      <w:r>
        <w:t xml:space="preserve">Coulliette, A. D., &amp; Arduino, M. J. (2013). </w:t>
      </w:r>
      <w:hyperlink r:id="rId12">
        <w:r>
          <w:rPr>
            <w:color w:val="0563C1"/>
            <w:u w:val="single"/>
          </w:rPr>
          <w:t>Hemodialysis and water quality</w:t>
        </w:r>
      </w:hyperlink>
      <w:r>
        <w:t>. Seminars in Dialysis, 26(4), 427-438. Dialysis-water framework, used only where dialysis is a service this hospital provides.</w:t>
      </w:r>
    </w:p>
    <w:p>
      <w:pPr>
        <w:pStyle w:val="ListParagraph"/>
      </w:pPr>
      <w:r>
        <w:t xml:space="preserve">• </w:t>
      </w:r>
      <w:r>
        <w:t xml:space="preserve">Dhillon, V. S., &amp; Kaur, D. (2015). </w:t>
      </w:r>
      <w:hyperlink r:id="rId13">
        <w:r>
          <w:rPr>
            <w:color w:val="0563C1"/>
            <w:u w:val="single"/>
          </w:rPr>
          <w:t>Green hospital and climate change: Their interrelationship and the way forward</w:t>
        </w:r>
      </w:hyperlink>
      <w:r>
        <w:t>. Journal of Clinical and Diagnostic Research. Energy-efficiency framework, not a named green-building rating mandate.</w:t>
      </w:r>
    </w:p>
    <w:p>
      <w:pPr>
        <w:pStyle w:val="ListParagraph"/>
      </w:pPr>
      <w:r>
        <w:t xml:space="preserve">• </w:t>
      </w:r>
      <w:r>
        <w:t xml:space="preserve">National Health Mission. (2022). </w:t>
      </w:r>
      <w:hyperlink r:id="rId9">
        <w:r>
          <w:rPr>
            <w:color w:val="0563C1"/>
            <w:u w:val="single"/>
          </w:rPr>
          <w:t>Indian Public Health Standards</w:t>
        </w:r>
      </w:hyperlink>
      <w:r>
        <w:t>. Space-planning framework, not a NABH bed-count mandate.</w:t>
      </w:r>
    </w:p>
    <w:p>
      <w:pPr>
        <w:pStyle w:val="Heading1"/>
      </w:pPr>
      <w:r>
        <w:t>8. Review</w:t>
      </w:r>
    </w:p>
    <w:p>
      <w:r>
        <w:t>This SOP is reviewed annually, or sooner if a loaded backup test fails, if the AAC.1 service directory changes, or if AAC.1, AAC.6, FMS.3, FMS.4, FMS.5 or HIC.3 that this SOP hands work to are revised.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hsrcindia.org/sites/default/files/CHC%20IPHS%202022%20Guidelines%20pdf.pdf" TargetMode="External"/><Relationship Id="rId10" Type="http://schemas.openxmlformats.org/officeDocument/2006/relationships/hyperlink" Target="https://bis.gov.in/others/national-building-code/" TargetMode="External"/><Relationship Id="rId11" Type="http://schemas.openxmlformats.org/officeDocument/2006/relationships/hyperlink" Target="https://www.who.int/publications/i/item/9789241548151" TargetMode="External"/><Relationship Id="rId12" Type="http://schemas.openxmlformats.org/officeDocument/2006/relationships/hyperlink" Target="https://stacks.cdc.gov/view/cdc/34845/cdc_34845_DS1.pdf" TargetMode="External"/><Relationship Id="rId13" Type="http://schemas.openxmlformats.org/officeDocument/2006/relationships/hyperlink" Target="https://www.jcdr.net/ReadXMLFile.aspx?id=6942" TargetMode="External"/><Relationship Id="rId14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