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Standard Operating Procedure</w:t>
      </w:r>
    </w:p>
    <w:p>
      <w:r>
        <w:t>Safety of Patients, Families, Staff and Visitors</w:t>
      </w:r>
    </w:p>
    <w:p>
      <w:r>
        <w:t>«Hospital Name» — Supports FMS.2.a-g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This SOP tells facilities, security, engineering and quality staff, in one place, how this hospital keeps the building itself safe: the grab rails and call bells that actually work, access for the differently-abled, which areas need extra security, the monthly walk that finds what a register alone cannot, the electrical audit that is not just a DG test, how condemned items actually leave the clinical floor, and how hazardous materials are tracked and used safely. If you walk a round, hold a key, sign off an audit, or tag a condemned bed, this SOP is for you.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monthly facility round finds a grab rail pulled out of a wet-wall fixing in a ground-floor toilet. This SOP is what tells the rounding staff member which record to log it in, who closes the finding, and by when -- rather than the defect sitting unaddressed until the next round finds it again.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NABH requires patient-safety devices and infrastructure, facilities for the differently-abled, a description of extra-security areas and access, a monthly facility safety round (a Core, non-negotiable interval), electrical safety audits, a procedure for identifying and disposing of material not in use, and identification and safe use of hazardous materials -- the last two being the chapter's asterisked, documented-evidence elements.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SOP No.</w:t>
            </w:r>
          </w:p>
        </w:tc>
        <w:tc>
          <w:tcPr>
            <w:tcW w:type="dxa" w:w="2160"/>
          </w:tcPr>
          <w:p>
            <w:r>
              <w:t>SOP-FMS.2</w:t>
            </w:r>
          </w:p>
        </w:tc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1.0</w:t>
            </w:r>
          </w:p>
        </w:tc>
      </w:tr>
      <w:tr>
        <w:tc>
          <w:tcPr>
            <w:tcW w:type="dxa" w:w="2160"/>
          </w:tcPr>
          <w:p>
            <w:r>
              <w:t>Effective Date</w:t>
            </w:r>
          </w:p>
        </w:tc>
        <w:tc>
          <w:tcPr>
            <w:tcW w:type="dxa" w:w="2160"/>
          </w:tcPr>
          <w:p>
            <w:r>
              <w:t>«________»</w:t>
            </w:r>
          </w:p>
        </w:tc>
        <w:tc>
          <w:tcPr>
            <w:tcW w:type="dxa" w:w="2160"/>
          </w:tcPr>
          <w:p>
            <w:r>
              <w:t>Review Frequency</w:t>
            </w:r>
          </w:p>
        </w:tc>
        <w:tc>
          <w:tcPr>
            <w:tcW w:type="dxa" w:w="2160"/>
          </w:tcPr>
          <w:p>
            <w:r>
              <w:t>Annual, or on change</w:t>
            </w:r>
          </w:p>
        </w:tc>
      </w:tr>
    </w:tbl>
    <w:p/>
    <w:p>
      <w:pPr>
        <w:pStyle w:val="Heading1"/>
      </w:pPr>
      <w:r>
        <w:t>1. Purpose</w:t>
      </w:r>
    </w:p>
    <w:p>
      <w:r>
        <w:t>To define how «Hospital Name» keeps patients, families, staff and visitors safe from the building itself: installed safety devices, access for the differently-abled, extra-security areas, the monthly facility round, electrical safety audits, disposal of material not in use, and the safe identification and use of hazardous materials.</w:t>
      </w:r>
    </w:p>
    <w:p>
      <w:pPr>
        <w:pStyle w:val="Heading1"/>
      </w:pPr>
      <w:r>
        <w:t>2. Scope</w:t>
      </w:r>
    </w:p>
    <w:p>
      <w:r>
        <w:t>Applies to every area of {{HOSPITAL_NAME}} that patients, families, staff or visitors use. It does not cover fire detection, alarms, extinguishers or suppression (FMS.5), medical-device calibration (FMS.3), biomedical-waste colour coding and transport (HIC.3), blood/body-fluid spill response (HIC.2), cytotoxic spill response (MOM.8), or laboratory bench chemical hygiene (AAC.6) -- those remain their own documents and are only pointed to here where this SOP's steps hand work to them.</w:t>
      </w:r>
    </w:p>
    <w:p>
      <w:pPr>
        <w:pStyle w:val="Heading1"/>
      </w:pPr>
      <w:r>
        <w:t>3. Responsibility</w:t>
      </w:r>
    </w:p>
    <w:p>
      <w:r>
        <w:t>Head of the Institution: Is accountable that the facility operates so that patients, families, staff and visitors are safe as this SOP requires.</w:t>
      </w:r>
    </w:p>
    <w:p>
      <w:r>
        <w:t>Named Facilities/Engineering Lead: Holds device inspections, monthly rounds, electrical audits, unused-material records and the hazardous-material inventory.</w:t>
      </w:r>
    </w:p>
    <w:p>
      <w:r>
        <w:t>Security/Administration: Holds the extra-security and access description, where this is not the facilities lead.</w:t>
      </w:r>
    </w:p>
    <w:p>
      <w:r>
        <w:t>Quality/Accreditation Coordinator: Audits a sample of the records this SOP produces, at «Hospital to define» frequency, flagging a mismatch rather than filing it.</w:t>
      </w:r>
    </w:p>
    <w:p>
      <w:r>
        <w:t>All Staff: Treat a blocked exit, an unlabelled chemical, a condemned bed left in a patient bay, or a monthly register with no actual walk, as defects to report, not someone else's problem.</w:t>
      </w:r>
    </w:p>
    <w:p>
      <w:pPr>
        <w:pStyle w:val="Heading1"/>
      </w:pPr>
      <w:r>
        <w:t>4. Procedure</w:t>
      </w:r>
    </w:p>
    <w:p>
      <w:pPr>
        <w:pStyle w:val="Heading2"/>
      </w:pPr>
      <w:r>
        <w:t>4.1 Patient-safety devices and infrastructure, installed and inspected (FMS.2.a)</w:t>
      </w:r>
    </w:p>
    <w:p>
      <w:r>
        <w:t>Why this step matters: A grab rail that pulled out of a wet-wall fixing, or a call bell that rings at the panel but not in the room, is the failure this step exists to catch -- not the absence of the device, but a device that looks installed and does not actually work.</w:t>
      </w:r>
    </w:p>
    <w:p>
      <w:r>
        <w:t>1. Patient-safety devices and infrastructure installed across the organisation include grab rails in toilets and wet areas, anti-skid flooring where water is expected, window restrictors on upper floors, bumper guards on trolley routes, nurse-call/emergency-bell hardware, and bed-rail hardware -- the devices this hospital actually runs.</w:t>
      </w:r>
    </w:p>
    <w:p>
      <w:r>
        <w:t>2. Fire detection, alarms, extinguishers and suppression are FMS.5 provisions, inspected under FMS.5.d; they are listed on the monthly round (4.4 below) as found/blocked/failed, not counted twice as this OE's own install-and-inspect programme.</w:t>
      </w:r>
    </w:p>
    <w:p>
      <w:r>
        <w:t>3. «Hospital to define which patient-safety devices and infrastructure are installed, and the inspection interval and method» -- an inspection that tests the device, not one read off a purchase invoice.</w:t>
      </w:r>
    </w:p>
    <w:p>
      <w:r>
        <w:t>4. COP.12 owns the clinical decision to use a bed rail or a call bell at the bedside; this step owns that the hardware exists and works.</w:t>
      </w:r>
    </w:p>
    <w:p>
      <w:r>
        <w:t xml:space="preserve">Technical source(s) for these steps: </w:t>
      </w:r>
    </w:p>
    <w:p>
      <w:pPr>
        <w:pStyle w:val="ListParagraph"/>
      </w:pPr>
      <w:r>
        <w:t xml:space="preserve">• </w:t>
      </w:r>
      <w:r>
        <w:t xml:space="preserve">Bureau of Indian Standards. (2016). </w:t>
      </w:r>
      <w:hyperlink r:id="rId9">
        <w:r>
          <w:rPr>
            <w:color w:val="0563C1"/>
            <w:u w:val="single"/>
          </w:rPr>
          <w:t>National Building Code of India, 2016</w:t>
        </w:r>
      </w:hyperlink>
      <w:r>
        <w:t>.</w:t>
      </w:r>
    </w:p>
    <w:p>
      <w:pPr>
        <w:pStyle w:val="ListParagraph"/>
      </w:pPr>
      <w:r>
        <w:t xml:space="preserve">• </w:t>
      </w:r>
      <w:r>
        <w:t xml:space="preserve">Aggarwal, R., et al. (2010). </w:t>
      </w:r>
      <w:hyperlink r:id="rId10">
        <w:r>
          <w:rPr>
            <w:color w:val="0563C1"/>
            <w:u w:val="single"/>
          </w:rPr>
          <w:t>Training and simulation for patient safety</w:t>
        </w:r>
      </w:hyperlink>
      <w:r>
        <w:t>. Quality and Safety in Health Care, 19(Suppl 2), i34-i43.</w:t>
      </w:r>
    </w:p>
    <w:p>
      <w:pPr>
        <w:pStyle w:val="ListParagraph"/>
      </w:pPr>
      <w:r>
        <w:t xml:space="preserve">• </w:t>
      </w:r>
      <w:r>
        <w:t xml:space="preserve">American Society for Health Care Engineering. (2015). </w:t>
      </w:r>
      <w:hyperlink r:id="rId11">
        <w:r>
          <w:rPr>
            <w:color w:val="0563C1"/>
            <w:u w:val="single"/>
          </w:rPr>
          <w:t>Infrastructures to improve patient safety</w:t>
        </w:r>
      </w:hyperlink>
      <w:r>
        <w:t>. Health Facilities Management.</w:t>
      </w:r>
    </w:p>
    <w:p>
      <w:pPr>
        <w:pStyle w:val="Heading2"/>
      </w:pPr>
      <w:r>
        <w:t>4.2 Facilities for the differently-abled (FMS.2.b)</w:t>
      </w:r>
    </w:p>
    <w:p>
      <w:r>
        <w:t>Why this step matters: A single ramp to a locked side door is not this OE -- a wheelchair user needs to actually reach the floors and services this hospital treats, not just the building's front step.</w:t>
      </w:r>
    </w:p>
    <w:p>
      <w:r>
        <w:t>1. «Hospital to define facilities for the differently-abled and how they are kept usable» -- ramps or a working lift to the floors this hospital uses for patients, an accessible toilet, and wayfinding a wheelchair user can follow (consistent with FMS.1.c).</w:t>
      </w:r>
    </w:p>
    <w:p>
      <w:r>
        <w:t>2. Facilities are kept usable, not blocked by a trolley bay or storage -- a facility that exists on paper but is obstructed in practice fails this step.</w:t>
      </w:r>
    </w:p>
    <w:p>
      <w:r>
        <w:t>3. NBC 2016 access provisions apply insofar as the local authority applied them to this building's occupancy; this step does not invent a universal door-width or gradient figure for every SHCO.</w:t>
      </w:r>
    </w:p>
    <w:p>
      <w:r>
        <w:t xml:space="preserve">Technical source(s) for these steps: </w:t>
      </w:r>
    </w:p>
    <w:p>
      <w:pPr>
        <w:pStyle w:val="ListParagraph"/>
      </w:pPr>
      <w:r>
        <w:t xml:space="preserve">• </w:t>
      </w:r>
      <w:r>
        <w:t xml:space="preserve">Gudlavalleti, V. S. (2018). </w:t>
      </w:r>
      <w:hyperlink r:id="rId12">
        <w:r>
          <w:rPr>
            <w:color w:val="0563C1"/>
            <w:u w:val="single"/>
          </w:rPr>
          <w:t>Challenges in Accessing Health Care for People with Disability in the South Asian Context: A Review</w:t>
        </w:r>
      </w:hyperlink>
      <w:r>
        <w:t>. International Journal of Environmental Research and Public Health, 15(11), 2366.</w:t>
      </w:r>
    </w:p>
    <w:p>
      <w:pPr>
        <w:pStyle w:val="ListParagraph"/>
      </w:pPr>
      <w:r>
        <w:t xml:space="preserve">• </w:t>
      </w:r>
      <w:r>
        <w:t xml:space="preserve">Bureau of Indian Standards. (2016). </w:t>
      </w:r>
      <w:hyperlink r:id="rId9">
        <w:r>
          <w:rPr>
            <w:color w:val="0563C1"/>
            <w:u w:val="single"/>
          </w:rPr>
          <w:t>National Building Code of India, 2016</w:t>
        </w:r>
      </w:hyperlink>
      <w:r>
        <w:t>.</w:t>
      </w:r>
    </w:p>
    <w:p>
      <w:pPr>
        <w:pStyle w:val="Heading2"/>
      </w:pPr>
      <w:r>
        <w:t>4.3 Extra security and access to areas (FMS.2.c)</w:t>
      </w:r>
    </w:p>
    <w:p>
      <w:r>
        <w:t>Why this step matters: A CCTV monitor that is never watched is not extra security -- this step is about areas actually being harder to enter without authorisation, not a camera pointed at an unwatched screen.</w:t>
      </w:r>
    </w:p>
    <w:p>
      <w:r>
        <w:t>1. Extra-security areas typically include pharmacy stores, medical-records if held on site, nursery/labour (as COP.8 uses them), server or plant rooms, and the medical-gas manifold (FMS.4) -- plus any other area this hospital has named.</w:t>
      </w:r>
    </w:p>
    <w:p>
      <w:r>
        <w:t>2. «Hospital to define extra-security areas, access by staff, patients and visitors, and the hardware that enforces it» -- locks, access-control hardware, CCTV if installed, and a written access description.</w:t>
      </w:r>
    </w:p>
    <w:p>
      <w:r>
        <w:t>3. COP.8.f owns the care process of matching and handing over a neonate and the missing-child response; COP.12.b owns bedside observation of a vulnerable adult -- this step owns the locks, access control and written description, not those care processes.</w:t>
      </w:r>
    </w:p>
    <w:p>
      <w:r>
        <w:t>4. A breach that is also an incident is dual-entered in PSQ.5.</w:t>
      </w:r>
    </w:p>
    <w:p>
      <w:pPr>
        <w:pStyle w:val="Heading2"/>
      </w:pPr>
      <w:r>
        <w:t>4.4 Facility inspection rounds at least once a month (FMS.2.d, Core)</w:t>
      </w:r>
    </w:p>
    <w:p>
      <w:r>
        <w:t>Why this step matters: A register signed on the last day of the month from the engineering office, with no ward walk, is the failure this step exists to catch -- the round only counts if clinical and support spaces were actually walked.</w:t>
      </w:r>
    </w:p>
    <w:p>
      <w:r>
        <w:t>1. Facility inspection rounds to ensure safety are conducted at least once a month. That interval is set by the objective element itself and is not hospital-optional.</w:t>
      </w:r>
    </w:p>
    <w:p>
      <w:r>
        <w:t>2. The round is a walk of occupied clinical and support spaces that can find a blocked exit, a failed grab rail, a wet floor without warning, an unlabelled chemical container, a condemned item still in a corridor (4.6 below), or an open electrical panel (4.5 below); a fire extinguisher missing is handed to FMS.5.</w:t>
      </w:r>
    </w:p>
    <w:p>
      <w:r>
        <w:t>3. «Hospital to define who conducts the monthly round, the circuit, and how findings are closed» -- a round that only inspects the director's corridor does not satisfy this step.</w:t>
      </w:r>
    </w:p>
    <w:p>
      <w:r>
        <w:t>4. A missed month is treated as a defect, not a gap to be filled retroactively. A finding that is also an incident is dual-entered in PSQ.5; ROM.4.a may use round findings as risk inputs without this step ceasing to be the facility method of record.</w:t>
      </w:r>
    </w:p>
    <w:p>
      <w:pPr>
        <w:pStyle w:val="Heading2"/>
      </w:pPr>
      <w:r>
        <w:t>4.5 Electrical safety audits of the facility (FMS.2.e)</w:t>
      </w:r>
    </w:p>
    <w:p>
      <w:r>
        <w:t>Why this step matters: A megger reading filed once at commissioning, with no audit since, is not an electrical safety programme -- this step is a recurring audit of the building's electrical installation, not a one-time commissioning record.</w:t>
      </w:r>
    </w:p>
    <w:p>
      <w:r>
        <w:t>1. This is not the FMS.1.e loaded DG test and not FMS.3's calibration of a medical device -- it is an audit of the electrical installation as a facility: earthing continuity, residual-current/earth-leakage protection on wet-area and patient-care circuits, overload and discrimination, damaged flexible cords, socket outlets in wet areas, panel labelling and lockability, and isolated-power provision in the OT where this hospital runs one.</w:t>
      </w:r>
    </w:p>
    <w:p>
      <w:r>
        <w:t>2. «Hospital to define the electrical safety audit scope, competence of the auditor, interval, and the isolation-until-repaired rule» -- who audits (in-house competent person or licensed contractor), and how a failed earth or a missing ELCB is isolated until it is repaired.</w:t>
      </w:r>
    </w:p>
    <w:p>
      <w:r>
        <w:t>3. A failed medical device remains FMS.3's concern; a failed building circuit is this audit's concern.</w:t>
      </w:r>
    </w:p>
    <w:p>
      <w:r>
        <w:t xml:space="preserve">Technical source(s) for these steps: </w:t>
      </w:r>
    </w:p>
    <w:p>
      <w:pPr>
        <w:pStyle w:val="ListParagraph"/>
      </w:pPr>
      <w:r>
        <w:t xml:space="preserve">• </w:t>
      </w:r>
      <w:r>
        <w:t xml:space="preserve">Bureau of Indian Standards. (2016). </w:t>
      </w:r>
      <w:hyperlink r:id="rId9">
        <w:r>
          <w:rPr>
            <w:color w:val="0563C1"/>
            <w:u w:val="single"/>
          </w:rPr>
          <w:t>National Building Code of India, 2016</w:t>
        </w:r>
      </w:hyperlink>
      <w:r>
        <w:t xml:space="preserve"> (as the framework pointing to IS 732 wiring practice and IS 3043 earthing).</w:t>
      </w:r>
    </w:p>
    <w:p>
      <w:pPr>
        <w:pStyle w:val="Heading2"/>
      </w:pPr>
      <w:r>
        <w:t>4.6 Identification and disposal of material not in use (FMS.2.f, Commitment, ASTERISKED)</w:t>
      </w:r>
    </w:p>
    <w:p>
      <w:r>
        <w:t>Why this step matters: A condemned ventilator left in a ward bay "until biomedical collects it", with no identification tag, is the failure this step exists to catch. This is the first of the chapter's two documented-evidence anchors -- an assessor will ask how a condemned bed, an obsolete monitor, or construction debris actually leaves the clinical floor.</w:t>
      </w:r>
    </w:p>
    <w:p>
      <w:r>
        <w:t>1. There is a procedure which addresses the identification and disposal of material(s) not in use in the organisation -- condemned furniture, obsolete equipment that FMS.3 has struck off the inventory, unused building materials, and expired non-BMW general stores.</w:t>
      </w:r>
    </w:p>
    <w:p>
      <w:r>
        <w:t>2. This is distinct from HIC.3's biomedical-waste stream: HIC.3 owns colour, internal transport, SPCB and common-facility handover. This step is material not in use, not the four-colour clinical waste stream pointed at as the answer.</w:t>
      </w:r>
    </w:p>
    <w:p>
      <w:r>
        <w:t>3. «Hospital to define the procedure that identifies and disposes of material not in use, including the HIC.3 split» -- how material is identified (tag, location, date, owner), who authorises condemnation including FMS.3 strike-off when the item is equipment, how it is stored so it cannot be reused on a patient, and how it is disposed of or sold.</w:t>
      </w:r>
    </w:p>
    <w:p>
      <w:r>
        <w:t>4. A tagged item still sitting in a patient bay is a failure of this OE, not a work-in-progress.</w:t>
      </w:r>
    </w:p>
    <w:p>
      <w:r>
        <w:t xml:space="preserve">Technical source(s) for these steps: </w:t>
      </w:r>
    </w:p>
    <w:p>
      <w:pPr>
        <w:pStyle w:val="ListParagraph"/>
      </w:pPr>
      <w:r>
        <w:t xml:space="preserve">• </w:t>
      </w:r>
      <w:r>
        <w:t xml:space="preserve">World Health Organization. (2014). </w:t>
      </w:r>
      <w:hyperlink r:id="rId13">
        <w:r>
          <w:rPr>
            <w:color w:val="0563C1"/>
            <w:u w:val="single"/>
          </w:rPr>
          <w:t>Safe Management of Wastes from Health-Care Activities</w:t>
        </w:r>
      </w:hyperlink>
      <w:r>
        <w:t xml:space="preserve"> (2nd ed.). Waste framework only; BMW colour-coding and SPCB handover remain HIC.3.</w:t>
      </w:r>
    </w:p>
    <w:p>
      <w:pPr>
        <w:pStyle w:val="Heading2"/>
      </w:pPr>
      <w:r>
        <w:t>4.7 Hazardous materials identified and used safely (FMS.2.g, Core, ASTERISKED)</w:t>
      </w:r>
    </w:p>
    <w:p>
      <w:r>
        <w:t>Why this step matters: A safety data sheet folder in quality, with no label on the actual jerry-can, is not identification. This is the chapter's second documented-evidence anchor -- an assessor will ask for the list, the location, the label, the PPE and the spill method for chemicals this hospital actually holds.</w:t>
      </w:r>
    </w:p>
    <w:p>
      <w:r>
        <w:t>1. Hazardous materials are identified and used safely within the organisation -- the facility-wide list: housekeeping chemicals, water-treatment chemicals, diesel and other fuels, mercury if a sphygmomanometer or thermometer stock still exists, engineering solvents, and laboratory bulk stores that sit outside the bench programme.</w:t>
      </w:r>
    </w:p>
    <w:p>
      <w:r>
        <w:t>2. This is not HIC.2's blood/body-fluid spill SOP, not MOM.8's cytotoxic bench spill SOP, not HIC.3's BMW colours, and not AAC.6's laboratory chemical-hygiene programme counted as the whole hospital list -- dual entry applies when a spill meets two definitions.</w:t>
      </w:r>
    </w:p>
    <w:p>
      <w:r>
        <w:t>3. «Hospital to define the identification and safe use of hazardous materials, including spill method for building chemicals and mercury» -- the inventory of hazardous materials this hospital actually holds (or a recorded absence for a class it does not hold), labelling and segregation, PPE, and who may use which material.</w:t>
      </w:r>
    </w:p>
    <w:p>
      <w:r>
        <w:t>4. NBC 2016 storage provisions apply as the local authority applied them; PESO/explosives rules for gas cylinders remain FMS.4, not this chemical list counted twice.</w:t>
      </w:r>
    </w:p>
    <w:p>
      <w:r>
        <w:t xml:space="preserve">Technical source(s) for these steps: </w:t>
      </w:r>
    </w:p>
    <w:p>
      <w:pPr>
        <w:pStyle w:val="ListParagraph"/>
      </w:pPr>
      <w:r>
        <w:t xml:space="preserve">• </w:t>
      </w:r>
      <w:r>
        <w:t xml:space="preserve">Bureau of Indian Standards. (2016). </w:t>
      </w:r>
      <w:hyperlink r:id="rId9">
        <w:r>
          <w:rPr>
            <w:color w:val="0563C1"/>
            <w:u w:val="single"/>
          </w:rPr>
          <w:t>National Building Code of India, 2016</w:t>
        </w:r>
      </w:hyperlink>
      <w:r>
        <w:t>.</w:t>
      </w:r>
    </w:p>
    <w:p>
      <w:pPr>
        <w:pStyle w:val="Heading1"/>
      </w:pPr>
      <w:r>
        <w:t>5. Records</w:t>
      </w:r>
    </w:p>
    <w:p>
      <w:r>
        <w:t>This SOP produces and maintains Records 1-7 (see the FMS.2 Records folder).</w:t>
      </w:r>
    </w:p>
    <w:p>
      <w:pPr>
        <w:pStyle w:val="Heading1"/>
      </w:pPr>
      <w:r>
        <w:t>6. Related Documents</w:t>
      </w:r>
    </w:p>
    <w:p>
      <w:pPr>
        <w:pStyle w:val="ListParagraph"/>
      </w:pPr>
      <w:r>
        <w:t>Policy — Safety of Patients, Families, Staff and Visitors (FMS.2)</w:t>
      </w:r>
    </w:p>
    <w:p>
      <w:pPr>
        <w:pStyle w:val="ListParagraph"/>
      </w:pPr>
      <w:r>
        <w:t>Hospital's Facility Management and Fire Safety Programme (FMS.5)</w:t>
      </w:r>
    </w:p>
    <w:p>
      <w:pPr>
        <w:pStyle w:val="ListParagraph"/>
      </w:pPr>
      <w:r>
        <w:t>Hospital's Medical and Support-Service Equipment Programme (FMS.3)</w:t>
      </w:r>
    </w:p>
    <w:p>
      <w:pPr>
        <w:pStyle w:val="ListParagraph"/>
      </w:pPr>
      <w:r>
        <w:t>Hospital's Support-Services Infection-Control Policy (HIC.3)</w:t>
      </w:r>
    </w:p>
    <w:p>
      <w:pPr>
        <w:pStyle w:val="ListParagraph"/>
      </w:pPr>
      <w:r>
        <w:t>Hospital's Blood/Body-Fluid Spill SOP (HIC.2)</w:t>
      </w:r>
    </w:p>
    <w:p>
      <w:pPr>
        <w:pStyle w:val="ListParagraph"/>
      </w:pPr>
      <w:r>
        <w:t>Hospital's Cytotoxic Handling SOP (MOM.8)</w:t>
      </w:r>
    </w:p>
    <w:p>
      <w:pPr>
        <w:pStyle w:val="ListParagraph"/>
      </w:pPr>
      <w:r>
        <w:t>Hospital's Laboratory Safety Programme (AAC.6)</w:t>
      </w:r>
    </w:p>
    <w:p>
      <w:pPr>
        <w:pStyle w:val="Heading1"/>
      </w:pPr>
      <w:r>
        <w:t>7. Where This SOP's Requirements Come From (Verified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14">
        <w:r>
          <w:rPr>
            <w:color w:val="0563C1"/>
            <w:u w:val="single"/>
          </w:rPr>
          <w:t>NABH SHCO Accreditation Programme page</w:t>
        </w:r>
      </w:hyperlink>
      <w:r>
        <w:t>. Facility Management and Safety chapter, standard FMS.2.</w:t>
      </w:r>
    </w:p>
    <w:p>
      <w:pPr>
        <w:pStyle w:val="ListParagraph"/>
      </w:pPr>
      <w:r>
        <w:t xml:space="preserve">• </w:t>
      </w:r>
      <w:r>
        <w:t xml:space="preserve">Bureau of Indian Standards. (2016). </w:t>
      </w:r>
      <w:hyperlink r:id="rId9">
        <w:r>
          <w:rPr>
            <w:color w:val="0563C1"/>
            <w:u w:val="single"/>
          </w:rPr>
          <w:t>National Building Code of India, 2016</w:t>
        </w:r>
      </w:hyperlink>
      <w:r>
        <w:t>. Building, access and electrical-installation framework as the local authority has applied it; IS 732, IS 3043 and IS 2190 are NBC-pointed practice, not extra statutes.</w:t>
      </w:r>
    </w:p>
    <w:p>
      <w:pPr>
        <w:pStyle w:val="ListParagraph"/>
      </w:pPr>
      <w:r>
        <w:t xml:space="preserve">• </w:t>
      </w:r>
      <w:r>
        <w:t xml:space="preserve">Gudlavalleti, V. S. (2018). </w:t>
      </w:r>
      <w:hyperlink r:id="rId12">
        <w:r>
          <w:rPr>
            <w:color w:val="0563C1"/>
            <w:u w:val="single"/>
          </w:rPr>
          <w:t>Challenges in Accessing Health Care for People with Disability in the South Asian Context: A Review</w:t>
        </w:r>
      </w:hyperlink>
      <w:r>
        <w:t>. International Journal of Environmental Research and Public Health, 15(11), 2366. Disability-access framework.</w:t>
      </w:r>
    </w:p>
    <w:p>
      <w:pPr>
        <w:pStyle w:val="ListParagraph"/>
      </w:pPr>
      <w:r>
        <w:t xml:space="preserve">• </w:t>
      </w:r>
      <w:r>
        <w:t xml:space="preserve">World Health Organization. (2014). </w:t>
      </w:r>
      <w:hyperlink r:id="rId13">
        <w:r>
          <w:rPr>
            <w:color w:val="0563C1"/>
            <w:u w:val="single"/>
          </w:rPr>
          <w:t>Safe Management of Wastes from Health-Care Activities</w:t>
        </w:r>
      </w:hyperlink>
      <w:r>
        <w:t xml:space="preserve"> (2nd ed.). Waste framework only; BMW colour-coding and SPCB handover remain HIC.3.</w:t>
      </w:r>
    </w:p>
    <w:p>
      <w:pPr>
        <w:pStyle w:val="ListParagraph"/>
      </w:pPr>
      <w:r>
        <w:t xml:space="preserve">• </w:t>
      </w:r>
      <w:r>
        <w:t xml:space="preserve">World Health Organization. (2015). </w:t>
      </w:r>
      <w:hyperlink r:id="rId15">
        <w:r>
          <w:rPr>
            <w:color w:val="0563C1"/>
            <w:u w:val="single"/>
          </w:rPr>
          <w:t>Hospital Safety Index: Guide for Evaluators</w:t>
        </w:r>
      </w:hyperlink>
      <w:r>
        <w:t xml:space="preserve"> (2nd ed.). Evaluator framework, not a mandated score.</w:t>
      </w:r>
    </w:p>
    <w:p>
      <w:pPr>
        <w:pStyle w:val="ListParagraph"/>
      </w:pPr>
      <w:r>
        <w:t xml:space="preserve">• </w:t>
      </w:r>
      <w:r>
        <w:t xml:space="preserve">Aggarwal, R., Mytton, O. T., Derbrew, M., Hananel, D., Heydenburg, M., Issenberg, B., MacAulay, C., Mancini, M. E., Morimoto, T., Soper, N., Ziv, A., &amp; Reznick, R. (2010). </w:t>
      </w:r>
      <w:hyperlink r:id="rId10">
        <w:r>
          <w:rPr>
            <w:color w:val="0563C1"/>
            <w:u w:val="single"/>
          </w:rPr>
          <w:t>Training and simulation for patient safety</w:t>
        </w:r>
      </w:hyperlink>
      <w:r>
        <w:t>. Quality and Safety in Health Care, 19(Suppl 2), i34-i43. Infrastructure-and-safety framework.</w:t>
      </w:r>
    </w:p>
    <w:p>
      <w:pPr>
        <w:pStyle w:val="ListParagraph"/>
      </w:pPr>
      <w:r>
        <w:t xml:space="preserve">• </w:t>
      </w:r>
      <w:r>
        <w:t xml:space="preserve">American Society for Health Care Engineering. (2015). </w:t>
      </w:r>
      <w:hyperlink r:id="rId11">
        <w:r>
          <w:rPr>
            <w:color w:val="0563C1"/>
            <w:u w:val="single"/>
          </w:rPr>
          <w:t>Infrastructures to improve patient safety</w:t>
        </w:r>
      </w:hyperlink>
      <w:r>
        <w:t>. Health Facilities Management. Framework reference only.</w:t>
      </w:r>
    </w:p>
    <w:p>
      <w:pPr>
        <w:pStyle w:val="Heading1"/>
      </w:pPr>
      <w:r>
        <w:t>8. Review</w:t>
      </w:r>
    </w:p>
    <w:p>
      <w:r>
        <w:t>This policy is reviewed at «Hospital to define the review interval for this policy», and sooner when a monthly round was missed, or when FMS.1, FMS.3, FMS.4, FMS.5, HIC.2, HIC.3, AAC.6, COP.8 or COP.12 that this document hands work to are revised.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is.gov.in/others/national-building-code/" TargetMode="External"/><Relationship Id="rId10" Type="http://schemas.openxmlformats.org/officeDocument/2006/relationships/hyperlink" Target="https://qualitysafety.bmj.com/content/19/Suppl_2/i34" TargetMode="External"/><Relationship Id="rId11" Type="http://schemas.openxmlformats.org/officeDocument/2006/relationships/hyperlink" Target="https://www.hfmmagazine.com/articles/1827-infrastructures-to-improve-patient-safety" TargetMode="External"/><Relationship Id="rId12" Type="http://schemas.openxmlformats.org/officeDocument/2006/relationships/hyperlink" Target="https://www.mdpi.com/1660-4601/15/11/2366" TargetMode="External"/><Relationship Id="rId13" Type="http://schemas.openxmlformats.org/officeDocument/2006/relationships/hyperlink" Target="https://www.who.int/publications-detail-redirect/9789241548564" TargetMode="External"/><Relationship Id="rId14" Type="http://schemas.openxmlformats.org/officeDocument/2006/relationships/hyperlink" Target="https://nabh.co/programmes/small-healthcare-organisation-shco-accreditation-programme/" TargetMode="External"/><Relationship Id="rId15" Type="http://schemas.openxmlformats.org/officeDocument/2006/relationships/hyperlink" Target="https://www.who.int/publications/i/item/978924154898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