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HRM.1.b — Written guidance governs the process of recruitment.</w:t>
      </w:r>
    </w:p>
    <w:p>
      <w:r>
        <w:t>HRM.1 Record 01 — Recruitment register</w:t>
      </w:r>
    </w:p>
    <w:p/>
    <w:p/>
    <w:p/>
    <w:p>
      <w:r>
        <w:t>How to fill this in — column by column</w:t>
      </w:r>
    </w:p>
    <w:p>
      <w:pPr>
        <w:pStyle w:val="ListParagraph"/>
      </w:pPr>
      <w:r>
        <w:t>Vacancy: The specific role and department being filled.</w:t>
      </w:r>
    </w:p>
    <w:p>
      <w:pPr>
        <w:pStyle w:val="ListParagraph"/>
      </w:pPr>
      <w:r>
        <w:t>Approved By: Who approved the vacancy before advertising started.</w:t>
      </w:r>
    </w:p>
    <w:p>
      <w:pPr>
        <w:pStyle w:val="ListParagraph"/>
      </w:pPr>
      <w:r>
        <w:t>Candidates Considered: How many candidates were shortlisted and interviewed.</w:t>
      </w:r>
    </w:p>
    <w:p>
      <w:pPr>
        <w:pStyle w:val="ListParagraph"/>
      </w:pPr>
      <w:r>
        <w:t>Selection Rationale: The stated reason the selected candidate was chosen.</w:t>
      </w:r>
    </w:p>
    <w:p>
      <w:pPr>
        <w:pStyle w:val="ListParagraph"/>
      </w:pPr>
      <w:r>
        <w:t>Fill Date: The actual date the vacancy was filled, or 'reopened' if declined.</w:t>
      </w:r>
    </w:p>
    <w:p>
      <w: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p/>
    <w:p>
      <w:r>
        <w:t>Where this requirement comes from (verified, clickable sources)</w:t>
      </w:r>
    </w:p>
    <w:p>
      <w:pPr>
        <w:pStyle w:val="ListParagraph"/>
      </w:pPr>
      <w:r>
        <w:t>NABH — Standards for Small Healthcare Organisations, 3rd Edition, HRM.1 — named source, no working link could be verified from here; check directly.</w:t>
      </w:r>
    </w:p>
    <w:tbl>
      <w:tblPr>
        <w:tblStyle w:val="TableGrid"/>
        <w:tblW w:type="auto" w:w="0"/>
        <w:tblLook w:firstColumn="1" w:firstRow="1" w:lastColumn="0" w:lastRow="0" w:noHBand="0" w:noVBand="1" w:val="04A0"/>
      </w:tblPr>
      <w:tblGrid>
        <w:gridCol w:w="8640"/>
      </w:tblGrid>
      <w:tr>
        <w:tc>
          <w:tcPr>
            <w:tcW w:type="dxa" w:w="8640"/>
          </w:tcPr>
          <w:p>
            <w:r>
              <w:rPr>
                <w:b/>
              </w:rPr>
              <w:t>What is this record, in plain terms?</w:t>
            </w:r>
          </w:p>
          <w:p>
            <w:r>
              <w:t>This record is where the HR In-Charge logs every vacancy from approval to fill: the requisition, who approved it, how many candidates were considered, why the selected candidate was chosen, and the date the role was filled. One row per vacancy, added at the time each step happens.</w:t>
            </w:r>
          </w:p>
        </w:tc>
      </w:tr>
    </w:tbl>
    <w:p/>
    <w:tbl>
      <w:tblPr>
        <w:tblStyle w:val="TableGrid"/>
        <w:tblW w:type="auto" w:w="0"/>
        <w:tblLook w:firstColumn="1" w:firstRow="1" w:lastColumn="0" w:lastRow="0" w:noHBand="0" w:noVBand="1" w:val="04A0"/>
      </w:tblPr>
      <w:tblGrid>
        <w:gridCol w:w="8640"/>
      </w:tblGrid>
      <w:tr>
        <w:tc>
          <w:tcPr>
            <w:tcW w:type="dxa" w:w="8640"/>
          </w:tcPr>
          <w:p>
            <w:r>
              <w:rPr>
                <w:b/>
              </w:rPr>
              <w:t>A real example of when you'd use this</w:t>
            </w:r>
          </w:p>
          <w:p>
            <w:r>
              <w:t>The HR In-Charge adds a row the day a vacancy is approved, and completes it as the process moves — shortlisting, interview, offer, fill. The worked example shows a Staff Nurse vacancy approved 02-Jan-2026 and filled 18-Jan-2026 after 3 interviews.</w:t>
            </w:r>
          </w:p>
        </w:tc>
      </w:tr>
    </w:tbl>
    <w:p/>
    <w:tbl>
      <w:tblPr>
        <w:tblStyle w:val="TableGrid"/>
        <w:tblW w:type="auto" w:w="0"/>
        <w:tblLook w:firstColumn="1" w:firstRow="1" w:lastColumn="0" w:lastRow="0" w:noHBand="0" w:noVBand="1" w:val="04A0"/>
      </w:tblPr>
      <w:tblGrid>
        <w:gridCol w:w="8640"/>
      </w:tblGrid>
      <w:tr>
        <w:tc>
          <w:tcPr>
            <w:tcW w:type="dxa" w:w="8640"/>
          </w:tcPr>
          <w:p>
            <w:r>
              <w:rPr>
                <w:b/>
              </w:rPr>
              <w:t>Why does NABH ask for this?</w:t>
            </w:r>
          </w:p>
          <w:p>
            <w:r>
              <w:t>Recruitment without a documented, transparent rationale is how an unqualified or unverified person slips into a clinical or support role — NABH treats this as Core precisely because it is the first gate every other HR requirement depends on.</w:t>
            </w:r>
          </w:p>
        </w:tc>
      </w:tr>
    </w:tbl>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r>
              <w:t>Vacancy</w:t>
            </w:r>
          </w:p>
        </w:tc>
        <w:tc>
          <w:tcPr>
            <w:tcW w:type="dxa" w:w="1728"/>
          </w:tcPr>
          <w:p>
            <w:r>
              <w:t>Approved By</w:t>
            </w:r>
          </w:p>
        </w:tc>
        <w:tc>
          <w:tcPr>
            <w:tcW w:type="dxa" w:w="1728"/>
          </w:tcPr>
          <w:p>
            <w:r>
              <w:t>Candidates Considered</w:t>
            </w:r>
          </w:p>
        </w:tc>
        <w:tc>
          <w:tcPr>
            <w:tcW w:type="dxa" w:w="1728"/>
          </w:tcPr>
          <w:p>
            <w:r>
              <w:t>Selection Rationale</w:t>
            </w:r>
          </w:p>
        </w:tc>
        <w:tc>
          <w:tcPr>
            <w:tcW w:type="dxa" w:w="1728"/>
          </w:tcPr>
          <w:p>
            <w:r>
              <w:t>Fill Date</w:t>
            </w:r>
          </w:p>
        </w:tc>
      </w:tr>
      <w:tr>
        <w:trPr>
          <w:cantSplit/>
        </w:trPr>
        <w:tc>
          <w:tcPr>
            <w:tcW w:type="dxa" w:w="1728"/>
            <w:shd w:val="clear" w:color="auto" w:fill="FFF2CC"/>
          </w:tcPr>
          <w:p>
            <w:r/>
          </w:p>
        </w:tc>
        <w:tc>
          <w:tcPr>
            <w:tcW w:type="dxa" w:w="1728"/>
            <w:shd w:val="clear" w:color="auto" w:fill="FFF2CC"/>
          </w:tcPr>
          <w:p>
            <w:r/>
          </w:p>
        </w:tc>
        <w:tc>
          <w:tcPr>
            <w:tcW w:type="dxa" w:w="1728"/>
            <w:shd w:val="clear" w:color="auto" w:fill="FFF2CC"/>
          </w:tcPr>
          <w:p>
            <w:r/>
          </w:p>
        </w:tc>
        <w:tc>
          <w:tcPr>
            <w:tcW w:type="dxa" w:w="1728"/>
            <w:shd w:val="clear" w:color="auto" w:fill="FFF2CC"/>
          </w:tcPr>
          <w:p>
            <w:r/>
          </w:p>
        </w:tc>
        <w:tc>
          <w:tcPr>
            <w:tcW w:type="dxa" w:w="1728"/>
            <w:shd w:val="clear" w:color="auto" w:fill="FFF2CC"/>
          </w:tcPr>
          <w:p>
            <w:r/>
          </w:p>
        </w:tc>
      </w:tr>
      <w:tr>
        <w:trPr>
          <w:cantSplit/>
        </w:trPr>
        <w:tc>
          <w:tcPr>
            <w:tcW w:type="dxa" w:w="1728"/>
            <w:shd w:val="clear" w:color="auto" w:fill="FFF2CC"/>
          </w:tcPr>
          <w:p>
            <w:r>
              <w:t>Staff Nurse — Medicine Ward</w:t>
            </w:r>
          </w:p>
        </w:tc>
        <w:tc>
          <w:tcPr>
            <w:tcW w:type="dxa" w:w="1728"/>
            <w:shd w:val="clear" w:color="auto" w:fill="FFF2CC"/>
          </w:tcPr>
          <w:p>
            <w:r>
              <w:t>Medical Superintendent, 02-Jan-2026</w:t>
            </w:r>
          </w:p>
        </w:tc>
        <w:tc>
          <w:tcPr>
            <w:tcW w:type="dxa" w:w="1728"/>
            <w:shd w:val="clear" w:color="auto" w:fill="FFF2CC"/>
          </w:tcPr>
          <w:p>
            <w:r>
              <w:t>4 shortlisted, 3 interviewed</w:t>
            </w:r>
          </w:p>
        </w:tc>
        <w:tc>
          <w:tcPr>
            <w:tcW w:type="dxa" w:w="1728"/>
            <w:shd w:val="clear" w:color="auto" w:fill="FFF2CC"/>
          </w:tcPr>
          <w:p>
            <w:r>
              <w:t>Best fit on GNM qualification, 2 yrs relevant experience, reference checks clear</w:t>
            </w:r>
          </w:p>
        </w:tc>
        <w:tc>
          <w:tcPr>
            <w:tcW w:type="dxa" w:w="1728"/>
            <w:shd w:val="clear" w:color="auto" w:fill="FFF2CC"/>
          </w:tcPr>
          <w:p>
            <w:r>
              <w:t>18-Jan-2026</w:t>
            </w:r>
          </w:p>
        </w:tc>
      </w:tr>
      <w:tr>
        <w:trPr>
          <w:cantSplit/>
        </w:trPr>
        <w:tc>
          <w:tcPr>
            <w:tcW w:type="dxa" w:w="1728"/>
          </w:tcPr>
          <w:p/>
        </w:tc>
        <w:tc>
          <w:tcPr>
            <w:tcW w:type="dxa" w:w="1728"/>
          </w:tcPr>
          <w:p/>
        </w:tc>
        <w:tc>
          <w:tcPr>
            <w:tcW w:type="dxa" w:w="1728"/>
          </w:tcPr>
          <w:p/>
        </w:tc>
        <w:tc>
          <w:tcPr>
            <w:tcW w:type="dxa" w:w="1728"/>
          </w:tcPr>
          <w:p/>
        </w:tc>
        <w:tc>
          <w:tcPr>
            <w:tcW w:type="dxa" w:w="1728"/>
          </w:tcPr>
          <w:p/>
        </w:tc>
      </w:tr>
      <w:tr>
        <w:trPr>
          <w:cantSplit/>
        </w:trPr>
        <w:tc>
          <w:tcPr>
            <w:tcW w:type="dxa" w:w="1728"/>
          </w:tcPr>
          <w:p/>
        </w:tc>
        <w:tc>
          <w:tcPr>
            <w:tcW w:type="dxa" w:w="1728"/>
          </w:tcPr>
          <w:p/>
        </w:tc>
        <w:tc>
          <w:tcPr>
            <w:tcW w:type="dxa" w:w="1728"/>
          </w:tcPr>
          <w:p/>
        </w:tc>
        <w:tc>
          <w:tcPr>
            <w:tcW w:type="dxa" w:w="1728"/>
          </w:tcPr>
          <w:p/>
        </w:tc>
        <w:tc>
          <w:tcPr>
            <w:tcW w:type="dxa" w:w="1728"/>
          </w:tcPr>
          <w:p/>
        </w:tc>
      </w:tr>
      <w:tr>
        <w:trPr>
          <w:cantSplit/>
        </w:trPr>
        <w:tc>
          <w:tcPr>
            <w:tcW w:type="dxa" w:w="1728"/>
          </w:tcPr>
          <w:p/>
        </w:tc>
        <w:tc>
          <w:tcPr>
            <w:tcW w:type="dxa" w:w="1728"/>
          </w:tcPr>
          <w:p/>
        </w:tc>
        <w:tc>
          <w:tcPr>
            <w:tcW w:type="dxa" w:w="1728"/>
          </w:tcPr>
          <w:p/>
        </w:tc>
        <w:tc>
          <w:tcPr>
            <w:tcW w:type="dxa" w:w="1728"/>
          </w:tcPr>
          <w:p/>
        </w:tc>
        <w:tc>
          <w:tcPr>
            <w:tcW w:type="dxa" w:w="1728"/>
          </w:tcPr>
          <w:p/>
        </w:tc>
      </w:tr>
      <w:tr>
        <w:trPr>
          <w:cantSplit/>
        </w:trPr>
        <w:tc>
          <w:tcPr>
            <w:tcW w:type="dxa" w:w="1728"/>
          </w:tcPr>
          <w:p/>
        </w:tc>
        <w:tc>
          <w:tcPr>
            <w:tcW w:type="dxa" w:w="1728"/>
          </w:tcPr>
          <w:p/>
        </w:tc>
        <w:tc>
          <w:tcPr>
            <w:tcW w:type="dxa" w:w="1728"/>
          </w:tcPr>
          <w:p/>
        </w:tc>
        <w:tc>
          <w:tcPr>
            <w:tcW w:type="dxa" w:w="1728"/>
          </w:tcPr>
          <w:p/>
        </w:tc>
        <w:tc>
          <w:tcPr>
            <w:tcW w:type="dxa" w:w="1728"/>
          </w:tcPr>
          <w:p/>
        </w:tc>
      </w:tr>
      <w:tr>
        <w:trPr>
          <w:cantSplit/>
        </w:trPr>
        <w:tc>
          <w:tcPr>
            <w:tcW w:type="dxa" w:w="1728"/>
          </w:tcPr>
          <w:p/>
        </w:tc>
        <w:tc>
          <w:tcPr>
            <w:tcW w:type="dxa" w:w="1728"/>
          </w:tcPr>
          <w:p/>
        </w:tc>
        <w:tc>
          <w:tcPr>
            <w:tcW w:type="dxa" w:w="1728"/>
          </w:tcPr>
          <w:p/>
        </w:tc>
        <w:tc>
          <w:tcPr>
            <w:tcW w:type="dxa" w:w="1728"/>
          </w:tcPr>
          <w:p/>
        </w:tc>
        <w:tc>
          <w:tcPr>
            <w:tcW w:type="dxa" w:w="1728"/>
          </w:tcPr>
          <w:p/>
        </w:tc>
      </w:tr>
      <w:tr>
        <w:trPr>
          <w:cantSplit/>
        </w:trPr>
        <w:tc>
          <w:tcPr>
            <w:tcW w:type="dxa" w:w="1728"/>
          </w:tcPr>
          <w:p/>
        </w:tc>
        <w:tc>
          <w:tcPr>
            <w:tcW w:type="dxa" w:w="1728"/>
          </w:tcPr>
          <w:p/>
        </w:tc>
        <w:tc>
          <w:tcPr>
            <w:tcW w:type="dxa" w:w="1728"/>
          </w:tcPr>
          <w:p/>
        </w:tc>
        <w:tc>
          <w:tcPr>
            <w:tcW w:type="dxa" w:w="1728"/>
          </w:tcPr>
          <w:p/>
        </w:tc>
        <w:tc>
          <w:tcPr>
            <w:tcW w:type="dxa" w:w="1728"/>
          </w:tcPr>
          <w:p/>
        </w:tc>
      </w:tr>
      <w:tr>
        <w:trPr>
          <w:cantSplit/>
        </w:trPr>
        <w:tc>
          <w:tcPr>
            <w:tcW w:type="dxa" w:w="1728"/>
          </w:tcPr>
          <w:p/>
        </w:tc>
        <w:tc>
          <w:tcPr>
            <w:tcW w:type="dxa" w:w="1728"/>
          </w:tcPr>
          <w:p/>
        </w:tc>
        <w:tc>
          <w:tcPr>
            <w:tcW w:type="dxa" w:w="1728"/>
          </w:tcPr>
          <w:p/>
        </w:tc>
        <w:tc>
          <w:tcPr>
            <w:tcW w:type="dxa" w:w="1728"/>
          </w:tcPr>
          <w:p/>
        </w:tc>
        <w:tc>
          <w:tcPr>
            <w:tcW w:type="dxa" w:w="1728"/>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