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HRM.1.i — Written guidance governs disciplinary and grievance handling mechanisms.</w:t>
      </w:r>
    </w:p>
    <w:p>
      <w:r>
        <w:t>HRM.1 Record 04 — Grievance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Case No.: The unique case number assigned on the day the grievance was received.</w:t>
      </w:r>
    </w:p>
    <w:p>
      <w:pPr>
        <w:pStyle w:val="ListParagraph"/>
      </w:pPr>
      <w:r>
        <w:t>Date Received: The date the grievance was logged.</w:t>
      </w:r>
    </w:p>
    <w:p>
      <w:pPr>
        <w:pStyle w:val="ListParagraph"/>
      </w:pPr>
      <w:r>
        <w:t>Nature of Grievance: A brief, factual statement of what was raised.</w:t>
      </w:r>
    </w:p>
    <w:p>
      <w:pPr>
        <w:pStyle w:val="ListParagraph"/>
      </w:pPr>
      <w:r>
        <w:t>Action Taken: The investigation or resolution steps actually taken.</w:t>
      </w:r>
    </w:p>
    <w:p>
      <w:pPr>
        <w:pStyle w:val="ListParagraph"/>
      </w:pPr>
      <w:r>
        <w:t>Closure Date: The date the case was closed, after any appeal window.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>NABH — Standards for Small Healthcare Organisations, 3rd Edition, HRM.1 — named source, no working link could be verified from here; check directly.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staff grievance from the day it is received to the day it is closed — one row per case, each with its own case number.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adds a row the same day any staff member raises a grievance. The worked example shows a roster dispute logged 12-Feb-2026 and closed 20-Feb-2026.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grievance mechanism that exists only on paper, with no register showing cases actually logged and closed, cannot demonstrate it is used — NABH checks the register because a policy with no cases in it proves nothing by itself.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Case No.</w:t>
            </w:r>
          </w:p>
        </w:tc>
        <w:tc>
          <w:tcPr>
            <w:tcW w:type="dxa" w:w="1728"/>
          </w:tcPr>
          <w:p>
            <w:r>
              <w:t>Date Received</w:t>
            </w:r>
          </w:p>
        </w:tc>
        <w:tc>
          <w:tcPr>
            <w:tcW w:type="dxa" w:w="1728"/>
          </w:tcPr>
          <w:p>
            <w:r>
              <w:t>Nature of Grievance</w:t>
            </w:r>
          </w:p>
        </w:tc>
        <w:tc>
          <w:tcPr>
            <w:tcW w:type="dxa" w:w="1728"/>
          </w:tcPr>
          <w:p>
            <w:r>
              <w:t>Action Taken</w:t>
            </w:r>
          </w:p>
        </w:tc>
        <w:tc>
          <w:tcPr>
            <w:tcW w:type="dxa" w:w="1728"/>
          </w:tcPr>
          <w:p>
            <w:r>
              <w:t>Closure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GRV-2026-004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Dispute over shift roster allocation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Department head and HR reviewed roster policy with both parties; roster corrected</w:t>
            </w:r>
          </w:p>
        </w:tc>
        <w:tc>
          <w:tcPr>
            <w:tcW w:type="dxa" w:w="1728"/>
            <w:shd w:val="clear" w:color="auto" w:fill="FFF2CC"/>
          </w:tcPr>
          <w:p>
            <w:r>
              <w:t>20-Feb-2026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