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HRM.1.i — Written guidance governs disciplinary and grievance handling mechanisms.</w:t>
      </w:r>
    </w:p>
    <w:p>
      <w:r>
        <w:t>HRM.1 Record 05 — Disciplinary proceedings register (secure)</w:t>
      </w:r>
    </w:p>
    <w:p/>
    <w:p/>
    <w:p/>
    <w:p>
      <w:r>
        <w:t>How to fill this in — column by column</w:t>
      </w:r>
    </w:p>
    <w:p>
      <w:pPr>
        <w:pStyle w:val="ListParagraph"/>
      </w:pPr>
      <w:r>
        <w:t>Case No.: The unique case number assigned on the day the matter was logged.</w:t>
      </w:r>
    </w:p>
    <w:p>
      <w:pPr>
        <w:pStyle w:val="ListParagraph"/>
      </w:pPr>
      <w:r>
        <w:t>Date Logged: The date the alleged conduct was first logged.</w:t>
      </w:r>
    </w:p>
    <w:p>
      <w:pPr>
        <w:pStyle w:val="ListParagraph"/>
      </w:pPr>
      <w:r>
        <w:t>Alleged Conduct: A brief, factual statement of the matter — kept confidential.</w:t>
      </w:r>
    </w:p>
    <w:p>
      <w:pPr>
        <w:pStyle w:val="ListParagraph"/>
      </w:pPr>
      <w:r>
        <w:t>Outcome / Penalty: The decided outcome, including any penalty applied.</w:t>
      </w:r>
    </w:p>
    <w:p>
      <w:pPr>
        <w:pStyle w:val="ListParagraph"/>
      </w:pPr>
      <w:r>
        <w:t>Appeal Status: Whether an appeal was lodged, and its outcome if decided.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>NABH — Standards for Small Healthcare Organisations, 3rd Edition, HRM.1 — named source, no working link could be verified from here; check directly.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logs every disciplinary matter from the day it is first raised to its decided outcome and appeal status — kept securely, separate from general HR files, given its confidential content.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HR In-Charge adds a row the day any disciplinary matter is first logged. The worked example shows an attendance case logged 03-Mar-2026 and closed with no appeal by 15-Mar-2026.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Discipline handled case by case with no register cannot be shown to be consistent or fair across staff — the register is what lets the hospital, and an assessor, see that the same written procedure was actually applied each time.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Case No.</w:t>
            </w:r>
          </w:p>
        </w:tc>
        <w:tc>
          <w:tcPr>
            <w:tcW w:type="dxa" w:w="1728"/>
          </w:tcPr>
          <w:p>
            <w:r>
              <w:t>Date Logged</w:t>
            </w:r>
          </w:p>
        </w:tc>
        <w:tc>
          <w:tcPr>
            <w:tcW w:type="dxa" w:w="1728"/>
          </w:tcPr>
          <w:p>
            <w:r>
              <w:t>Alleged Conduct</w:t>
            </w:r>
          </w:p>
        </w:tc>
        <w:tc>
          <w:tcPr>
            <w:tcW w:type="dxa" w:w="1728"/>
          </w:tcPr>
          <w:p>
            <w:r>
              <w:t>Outcome / Penalty</w:t>
            </w:r>
          </w:p>
        </w:tc>
        <w:tc>
          <w:tcPr>
            <w:tcW w:type="dxa" w:w="1728"/>
          </w:tcPr>
          <w:p>
            <w:r>
              <w:t>Appeal Status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DIS-2026-002</w:t>
            </w:r>
          </w:p>
        </w:tc>
        <w:tc>
          <w:tcPr>
            <w:tcW w:type="dxa" w:w="1728"/>
            <w:shd w:val="clear" w:color="auto" w:fill="FFF2CC"/>
          </w:tcPr>
          <w:p>
            <w:r>
              <w:t>03-Mar-2026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Repeated late attendance after written warning</w:t>
            </w:r>
          </w:p>
        </w:tc>
        <w:tc>
          <w:tcPr>
            <w:tcW w:type="dxa" w:w="1728"/>
            <w:shd w:val="clear" w:color="auto" w:fill="FFF2CC"/>
          </w:tcPr>
          <w:p>
            <w:r>
              <w:t>Final written warning issued</w:t>
            </w:r>
          </w:p>
        </w:tc>
        <w:tc>
          <w:tcPr>
            <w:tcW w:type="dxa" w:w="1728"/>
            <w:shd w:val="clear" w:color="auto" w:fill="FFF2CC"/>
          </w:tcPr>
          <w:p>
            <w:r>
              <w:t>No appeal lodged; case closed 15-Mar-2026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