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Disciplinary and Grievance Handling</w:t>
      </w:r>
    </w:p>
    <w:p>
      <w:r>
        <w:t>«Hospital Name» — Supports HRM.1.i</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handles staff discipline and grievances against written guidance. If you're new to this SOP: every matter gets a case number and a date on the day it is reported — an undocumented or verbally resolved case does not count as handled under this procedure.</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handles staff misconduct and staff grievances against written guidance, so that both are investigated, decided and closed consistently rather than handled case by case with no documented process.</w:t>
      </w:r>
    </w:p>
    <w:p>
      <w:pPr>
        <w:pStyle w:val="Heading1"/>
      </w:pPr>
      <w:r>
        <w:t>2. Scope</w:t>
      </w:r>
    </w:p>
    <w:p>
      <w:r>
        <w:t>This SOP applies to the «HR In-Charge / Personnel Officer», the Medical Superintendent, and department heads, for every staff member at «Hospital Name» who raises a grievance or is the subject of a disciplinary matter.</w:t>
      </w:r>
    </w:p>
    <w:p>
      <w:pPr>
        <w:pStyle w:val="Heading1"/>
      </w:pPr>
      <w:r>
        <w:t>3. Responsibility</w:t>
      </w:r>
    </w:p>
    <w:p>
      <w:r>
        <w:rPr>
          <w:b/>
        </w:rPr>
        <w:t xml:space="preserve">HR In-Charge / Personnel Officer: </w:t>
      </w:r>
      <w:r>
        <w:t>maintains the grievance register and the disciplinary proceedings register, and assigns a case number to every new complaint on receipt.</w:t>
      </w:r>
    </w:p>
    <w:p>
      <w:r>
        <w:rPr>
          <w:b/>
        </w:rPr>
        <w:t xml:space="preserve">Medical Superintendent: </w:t>
      </w:r>
      <w:r>
        <w:t>approves the disciplinary and grievance procedure, chairs or nominates the hearing for serious matters, and decides the appeal route.</w:t>
      </w:r>
    </w:p>
    <w:p>
      <w:r>
        <w:rPr>
          <w:b/>
        </w:rPr>
        <w:t xml:space="preserve">Department Heads: </w:t>
      </w:r>
      <w:r>
        <w:t>receive and escalate grievances raised in their department within the stated timeline, and cooperate with any investigation.</w:t>
      </w:r>
    </w:p>
    <w:p>
      <w:pPr>
        <w:pStyle w:val="Heading1"/>
      </w:pPr>
      <w:r>
        <w:t>4. Procedure</w:t>
      </w:r>
    </w:p>
    <w:p>
      <w:pPr>
        <w:pStyle w:val="Heading2"/>
      </w:pPr>
      <w:r>
        <w:t>4.1 Receive and log</w:t>
      </w:r>
    </w:p>
    <w:p>
      <w:r>
        <w:rPr>
          <w:b/>
        </w:rPr>
        <w:t xml:space="preserve">Why this step matters: </w:t>
      </w:r>
      <w:r>
        <w:t>A grievance or a disciplinary matter that is handled verbally, with no case number and no date, cannot later be shown to have followed any consistent process at all.</w:t>
      </w:r>
    </w:p>
    <w:p>
      <w:r>
        <w:t>1. Every grievance is logged in the grievance register with a unique case number and the date received, on the same day it is reported.</w:t>
      </w:r>
    </w:p>
    <w:p>
      <w:r>
        <w:t>2. Every disciplinary matter is logged in the disciplinary proceedings register with the same day's date and a brief statement of the alleged conduct.</w:t>
      </w:r>
    </w:p>
    <w:p>
      <w:r>
        <w:t>3. The HR In-Charge confirms confidentiality applies to both registers from the point of logging. (Record 1)</w:t>
      </w:r>
    </w:p>
    <w:p>
      <w:pPr>
        <w:pStyle w:val="Heading2"/>
      </w:pPr>
      <w:r>
        <w:t>4.2 Investigate within a defined timeline</w:t>
      </w:r>
    </w:p>
    <w:p>
      <w:r>
        <w:rPr>
          <w:b/>
        </w:rPr>
        <w:t xml:space="preserve">Why this step matters: </w:t>
      </w:r>
      <w:r>
        <w:t>An investigation with no deadline tends to drift indefinitely, which is itself unfair to both the complainant and the person being investigated.</w:t>
      </w:r>
    </w:p>
    <w:p>
      <w:r>
        <w:t>1. The procedure states the investigation timeline and who conducts it for each type of matter.</w:t>
      </w:r>
    </w:p>
    <w:p>
      <w:r>
        <w:t>2. The investigator records the steps taken and the evidence gathered against the case number.</w:t>
      </w:r>
    </w:p>
    <w:p>
      <w:r>
        <w:t>3. Where a hearing is required, the Medical Superintendent or nominee convenes it within the stated timeline. (Record 2)</w:t>
      </w:r>
    </w:p>
    <w:p>
      <w:pPr>
        <w:pStyle w:val="Heading2"/>
      </w:pPr>
      <w:r>
        <w:t>4.3 Decide, close, and allow appeal</w:t>
      </w:r>
    </w:p>
    <w:p>
      <w:r>
        <w:rPr>
          <w:b/>
        </w:rPr>
        <w:t xml:space="preserve">Why this step matters: </w:t>
      </w:r>
      <w:r>
        <w:t>A case that is decided but never closed in writing, with no stated appeal route, leaves both the organisation and the staff member with no record of how the matter actually ended.</w:t>
      </w:r>
    </w:p>
    <w:p>
      <w:r>
        <w:t>1. The outcome — including any penalty, or the grievance resolution — is recorded against the case number with the closure date.</w:t>
      </w:r>
    </w:p>
    <w:p>
      <w:r>
        <w:t>2. The staff member is informed in writing of the outcome and of the appeal route available to them.</w:t>
      </w:r>
    </w:p>
    <w:p>
      <w:r>
        <w:t>3. The HR In-Charge confirms the register entry is marked closed only once the appeal window has passed or the appeal is decided. (Record 3)</w:t>
      </w:r>
    </w:p>
    <w:p>
      <w:pPr>
        <w:pStyle w:val="Heading1"/>
      </w:pPr>
      <w:r>
        <w:t>5. Records</w:t>
      </w:r>
    </w:p>
    <w:p>
      <w:r>
        <w:t>This SOP produces and maintains Records 1-3 (see the HRM.1 Records folder).</w:t>
      </w:r>
    </w:p>
    <w:p>
      <w:pPr>
        <w:pStyle w:val="Heading1"/>
      </w:pPr>
      <w:r>
        <w:t>6. Related Documents</w:t>
      </w:r>
    </w:p>
    <w:p>
      <w:pPr>
        <w:pStyle w:val="ListParagraph"/>
      </w:pPr>
      <w:r>
        <w:t>Policy on Human Resource Planning, Recruitment and Staff Governance (HRM.1) — this SOP operationalises step 5.9</w:t>
      </w:r>
    </w:p>
    <w:p>
      <w:pPr>
        <w:pStyle w:val="ListParagraph"/>
      </w:pPr>
      <w:r>
        <w:t>Required Records — HRM.1.i (see HRM.1 Records folder)</w:t>
      </w:r>
    </w:p>
    <w:p>
      <w:pPr>
        <w:pStyle w:val="Heading1"/>
      </w:pPr>
      <w:r>
        <w:t>7. Where This SOP's Requirements Come From (Verified Sources)</w:t>
      </w:r>
    </w:p>
    <w:p>
      <w:pPr>
        <w:pStyle w:val="ListParagraph"/>
      </w:pPr>
      <w:r>
        <w:t>National Accreditation Board for Hospitals and Healthcare Providers (NABH), Standards for Small Healthcare Organisations, 3rd Edition — Human Resource Management chapter, standard HRM.1.</w:t>
      </w:r>
    </w:p>
    <w:p>
      <w:pPr>
        <w:pStyle w:val="Heading1"/>
      </w:pPr>
      <w:r>
        <w:t>8. Review</w:t>
      </w:r>
    </w:p>
    <w:p>
      <w:r>
        <w:t>This SOP is reviewed at least annually by the Quality Coordinator together with the HR In-Charge, and sooner if a case reveals the timeline or the appeal route was not followed as written.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