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The consent method itself is set by the informed-consent policy; this policy covers confirming that consent was obtained before anaesthesia.</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an anaesthesia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ASA</w:t>
            </w:r>
          </w:p>
        </w:tc>
        <w:tc>
          <w:tcPr>
            <w:tcW w:type="pct" w:w="22%"/>
            <w:tcBorders>
              <w:top w:val="single" w:color="999999" w:sz="4"/>
              <w:left w:val="single" w:color="999999" w:sz="4"/>
              <w:bottom w:val="single" w:color="999999" w:sz="4"/>
              <w:right w:val="single" w:color="999999" w:sz="4"/>
            </w:tcBorders>
            <w:shd w:fill="E8E8E8" w:val="clear"/>
          </w:tcPr>
          <w:p>
            <w:r>
              <w:rPr>
                <w:b w:val="0"/>
              </w:rPr>
              <w:t>American Society of Anesthesiologists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WFSA</w:t>
            </w:r>
          </w:p>
        </w:tc>
        <w:tc>
          <w:tcPr>
            <w:tcW w:type="pct" w:w="22%"/>
            <w:tcBorders>
              <w:top w:val="single" w:color="999999" w:sz="4"/>
              <w:left w:val="single" w:color="999999" w:sz="4"/>
              <w:bottom w:val="single" w:color="999999" w:sz="4"/>
              <w:right w:val="single" w:color="999999" w:sz="4"/>
            </w:tcBorders>
            <w:shd w:fill="E8E8E8" w:val="clear"/>
          </w:tcPr>
          <w:p>
            <w:r>
              <w:rPr>
                <w:b w:val="0"/>
              </w:rPr>
              <w:t>World Federation of Societies of Anaesthesiologists</w:t>
            </w:r>
          </w:p>
        </w:tc>
      </w:tr>
    </w:tbl>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