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Medication management in general is covered by a separate policy; this policy covers blood and blood-component transfusion.</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Root-cause analysis is required when a transfusion safety event (wrong blood, missed reaction, compatibility failure)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