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Intensive Care and High Dependency Units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The hospital-wide infection-control programme is covered by a separate policy; this policy covers ICU/HDU-specific infection control practices.</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The hospital-wide infection-control programme is covered by a separate policy. This policy covers confirming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Comfort care, pain management, dignity, and family support are provided.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Root-cause analysis is required when an ICU/HDU safety event (bundle non-compliance, unplanned readmission, restraint injury) recurs; the organisation's defined recurrence threshold applies, as documented in the hospital's Root Cause Analysis procedure.</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«COP/POL/06»  |  Controlled document  |  Policy on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