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End-of-Life Care</w:t>
      </w:r>
    </w:p>
    <w:p>
      <w:pPr>
        <w:spacing w:after="240"/>
        <w:jc w:val="center"/>
      </w:pPr>
      <w:r>
        <w:rPr>
          <w:i/>
          <w:iCs/>
          <w:sz w:val="20"/>
          <w:szCs w:val="20"/>
        </w:rPr>
        <w:t xml:space="preserve">HCO Full Accreditation, 6th Edition — COP.20.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«HCO/COP/POL/20»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End-of-life care is provided in a compassionate and considerate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COP.20: End-of-life care is provided in a compassionate and considerate manner.</w:t>
      </w:r>
    </w:p>
    <w:p>
      <w:pPr>
        <w:spacing w:after="140"/>
      </w:pPr>
      <w:r>
        <w:rPr>
          <w:sz w:val="22"/>
          <w:szCs w:val="22"/>
        </w:rPr>
        <w:t xml:space="preserve">It covers objective elements COP.20.a–e (5 elements).</w:t>
      </w:r>
    </w:p>
    <w:p>
      <w:pPr>
        <w:spacing w:after="140"/>
      </w:pPr>
      <w:r>
        <w:rPr>
          <w:sz w:val="22"/>
          <w:szCs w:val="22"/>
        </w:rPr>
        <w:t xml:space="preserve">This policy owns COP.20.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COP.20 at «Hospital Name», including the «Palliative / End-of-Life Care Lead», treating doctors, nurses and the Quality Coordinator.</w:t>
      </w:r>
    </w:p>
    <w:p>
      <w:pPr>
        <w:spacing w:after="140"/>
      </w:pPr>
      <w:r>
        <w:rPr>
          <w:sz w:val="22"/>
          <w:szCs w:val="22"/>
        </w:rPr>
        <w:t xml:space="preserve">It covers 5 objective elements (COP.20.a, COP.20.b, COP.20.c, COP.20.d, COP.20.e).</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COP.20 so that end-of-life care is provided in a compassionate and considerate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End-of-life care is provided in a consistent manner in the organisation.</w:t>
      </w:r>
    </w:p>
    <w:p>
      <w:pPr>
        <w:spacing w:after="80"/>
      </w:pPr>
      <w:r>
        <w:rPr>
          <w:sz w:val="22"/>
          <w:szCs w:val="22"/>
        </w:rPr>
        <w:t xml:space="preserve">2. Do not skip: A multi-professional approach is used to provide end-of-life care.</w:t>
      </w:r>
    </w:p>
    <w:p>
      <w:pPr>
        <w:spacing w:after="80"/>
      </w:pPr>
      <w:r>
        <w:rPr>
          <w:sz w:val="22"/>
          <w:szCs w:val="22"/>
        </w:rPr>
        <w:t xml:space="preserve">3. Do not skip: End-of-life care is in consonance with the legal requirements.</w:t>
      </w:r>
    </w:p>
    <w:p>
      <w:pPr>
        <w:spacing w:after="80"/>
      </w:pPr>
      <w:r>
        <w:rPr>
          <w:sz w:val="22"/>
          <w:szCs w:val="22"/>
        </w:rPr>
        <w:t xml:space="preserve">4. Do not skip: End-of-life care also addresses the identification of the unique needs of such patient and family.</w:t>
      </w:r>
    </w:p>
    <w:p>
      <w:pPr>
        <w:spacing w:after="80"/>
      </w:pPr>
      <w:r>
        <w:rPr>
          <w:sz w:val="22"/>
          <w:szCs w:val="22"/>
        </w:rPr>
        <w:t xml:space="preserve">5. Do not skip: Symptomatic treatment is provided and where appropriate measures are taken for the alleviation of pain....</w:t>
      </w:r>
    </w:p>
    <w:p>
      <w:pPr>
        <w:spacing w:after="80"/>
      </w:pPr>
      <w:r>
        <w:rPr>
          <w:sz w:val="22"/>
          <w:szCs w:val="22"/>
        </w:rPr>
        <w:t xml:space="preserve">6. Staff who see a COP.20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End-of-life care is provided in a consistent manner in the organisation</w:t>
      </w:r>
    </w:p>
    <w:p>
      <w:pPr>
        <w:spacing w:after="140"/>
      </w:pPr>
      <w:r>
        <w:rPr>
          <w:sz w:val="22"/>
          <w:szCs w:val="22"/>
        </w:rPr>
        <w:t xml:space="preserve">End-of-life care is provided in a consistent manner in the organisation.</w:t>
      </w:r>
    </w:p>
    <w:p>
      <w:pPr>
        <w:spacing w:after="140"/>
      </w:pPr>
      <w:r>
        <w:rPr>
          <w:sz w:val="22"/>
          <w:szCs w:val="22"/>
        </w:rPr>
        <w:t xml:space="preserve">Method note (from guidebook interpretation): The team could include a doctor, nurse, clinical psychologist,</w:t>
      </w:r>
    </w:p>
    <w:p>
      <w:pPr>
        <w:pStyle w:val="Heading2"/>
        <w:spacing w:after="100" w:before="220"/>
      </w:pPr>
      <w:r>
        <w:t xml:space="preserve">5.2 A multi-professional approach is used to provide end-of-life care</w:t>
      </w:r>
    </w:p>
    <w:p>
      <w:pPr>
        <w:spacing w:after="140"/>
      </w:pPr>
      <w:r>
        <w:rPr>
          <w:sz w:val="22"/>
          <w:szCs w:val="22"/>
        </w:rPr>
        <w:t xml:space="preserve">A multi-professional approach is used to provide end-of-life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End-of-life care is in consonance with the legal requirements</w:t>
      </w:r>
    </w:p>
    <w:p>
      <w:pPr>
        <w:spacing w:after="140"/>
      </w:pPr>
      <w:r>
        <w:rPr>
          <w:sz w:val="22"/>
          <w:szCs w:val="22"/>
        </w:rPr>
        <w:t xml:space="preserve">End-of-life care is in consonance with the legal requirements.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End-of-life care also addresses the identification of the unique needs..</w:t>
      </w:r>
    </w:p>
    <w:p>
      <w:pPr>
        <w:spacing w:after="140"/>
      </w:pPr>
      <w:r>
        <w:rPr>
          <w:sz w:val="22"/>
          <w:szCs w:val="22"/>
        </w:rPr>
        <w:t xml:space="preserve">End-of-life care also addresses the identification of the unique needs of such patient and family.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Symptomatic treatment is provided and where appropriate measures are..</w:t>
      </w:r>
    </w:p>
    <w:p>
      <w:pPr>
        <w:spacing w:after="140"/>
      </w:pPr>
      <w:r>
        <w:rPr>
          <w:sz w:val="22"/>
          <w:szCs w:val="22"/>
        </w:rPr>
        <w:t xml:space="preserve">Symptomatic treatment is provided and where appropriate measures are taken for the alleviation of pain. References 1. Bartoli F, Dell'Osso B, Crocamo C, Fiorillo A, Ketter TA, Suppes T, Clerici M, Carra G. Benefits and harms of low and high second-generation antipsychotics doses for bipolar depression: a meta-analysis. Journal of Psychiatric Research. 2017 May 1;88:38-46. 2. Kulju S, Morrish W, King L, Bender J, Gunnar W. Patient misidentification events in the Veterans Health Administration: a comprehensive review in the context of high-reliability health care. Journal of Patient Safety. 2022 Jan 1;18(1):e290-6. 3. Sutton E, Armstrong N, Locock L, Conroy S, Tarrant C. Visual identifiers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Identification of proteins associated with splicing factors Ntr1, Ntr2, Brr2 and Gpl1 in the fission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Classification and minimum standards for emergency medical teams.202. [cited 2023 Dec 4]. Available from: https://extranet.who.int/emt/sites/default/files/BlueBook2021.pdf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https://www.icn.ch/sites/default/files/2023-06/ICN_Code-of-Ethics_EN_Web.pdf.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difficult airway. Anesthesiology. 2022 Jan 1;136(1):31-81. 46. Ateriya N, Saraf A, Meshram VP, Setia P. Telemedicine and virtual consultation: The Indian perspective. National Medical Journal of India. 2018 Jul 1;31(4). 47. Carthon JM, Hatfield L, Plover C, Dierkes A, Davis L, Hedgeland T, Sanders AM, Visco F, Holland S, Ballinghoff J, Del Guidice M. Association of nurse engagement and nurse staffing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ahrq.gov/sites/default/files/pdf/pressure-ulcer-prevention_research-protocol.pdf. 50. Byrne JP, Xiong W, Gomez D, Mason S, Karanicolas P, Rizoli S, Tien H, Nathens AB. Redefining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Griffith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official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definition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Official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sites/default/files/2022-03/LaQshya%20Guidelines.pdf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COP.20 is resourced and followed.</w:t>
      </w:r>
    </w:p>
    <w:p>
      <w:pPr>
        <w:spacing w:after="20" w:before="100"/>
      </w:pPr>
      <w:r>
        <w:rPr>
          <w:b/>
          <w:bCs/>
          <w:sz w:val="22"/>
          <w:szCs w:val="22"/>
        </w:rPr>
        <w:t xml:space="preserve">Palliative / End-of-Life Care Lead</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End-of-Life Care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COP.20.</w:t>
      </w:r>
    </w:p>
    <w:p>
      <w:pPr>
        <w:pStyle w:val="ListParagraph"/>
        <w:numPr>
          <w:ilvl w:val="0"/>
          <w:numId w:val="1"/>
        </w:numPr>
        <w:spacing w:after="60"/>
      </w:pPr>
      <w:r>
        <w:rPr>
          <w:sz w:val="22"/>
          <w:szCs w:val="22"/>
        </w:rPr>
        <w:t xml:space="preserve">NABH Guidebook to Accreditation Standards for Hospitals, 6th Edition — COP.20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COP.20.</w:t>
      </w:r>
    </w:p>
    <w:p>
      <w:pPr>
        <w:pStyle w:val="Heading1"/>
        <w:spacing w:after="120" w:before="280"/>
      </w:pPr>
      <w:r>
        <w:t xml:space="preserve">10. Distribution</w:t>
      </w:r>
    </w:p>
    <w:p>
      <w:pPr>
        <w:spacing w:after="140"/>
      </w:pPr>
      <w:r>
        <w:rPr>
          <w:sz w:val="22"/>
          <w:szCs w:val="22"/>
        </w:rPr>
        <w:t xml:space="preserve">Medical Superintendent; Palliative / End-of-Life Care Lead; Quality Coordinator; department clinical staff covered by COP.20</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COP.20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is provided in a consistent manner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multi-professional approach is used to provide end-of-life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is in consonance with the legal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also addresses the identification of the unique needs of such patient and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Symptomatic treatment is provided and where appropriate measures are taken for the alleviation of pain. References 1. Bartoli F, Dell'Osso B, Crocamo C, Fiorillo A, Ketter TA, Suppes T, Clerici M, Carra G. Benefits and harms of low and high second-generation antipsychotics doses for bipolar depression: a meta-analysis. Journal of Psychiatric Research. 2017 May 1;88:38-46. 2. Kulju S, Morrish W, King L, Bender J, Gunnar W. Patient misidentification events in the Veterans Health Administration: a comprehensive review in the context of high-reliability health care. Journal of Patient Safety. 2022 Jan 1;18(1):e290-6. 3. Sutton E, Armstrong N, Locock L, Conroy S, Tarrant C. Visual identifiers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Identification of proteins associated with splicing factors Ntr1, Ntr2, Brr2 and Gpl1 in the fission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Classification and minimum standards for emergency medical teams.202. [cited 2023 Dec 4]. Available from: https://extranet.who.int/emt/sites/default/files/BlueBook2021.pdf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https://www.icn.ch/sites/default/files/2023-06/ICN_Code-of-Ethics_EN_Web.pdf.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difficult airway. Anesthesiology. 2022 Jan 1;136(1):31-81. 46. Ateriya N, Saraf A, Meshram VP, Setia P. Telemedicine and virtual consultation: The Indian perspective. National Medical Journal of India. 2018 Jul 1;31(4). 47. Carthon JM, Hatfield L, Plover C, Dierkes A, Davis L, Hedgeland T, Sanders AM, Visco F, Holland S, Ballinghoff J, Del Guidice M. Association of nurse engagement and nurse staffing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ahrq.gov/sites/default/files/pdf/pressure-ulcer-prevention_research-protocol.pdf. 50. Byrne JP, Xiong W, Gomez D, Mason S, Karanicolas P, Rizoli S, Tien H, Nathens AB. Redefining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Griffith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official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definition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Official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sites/default/files/2022-03/LaQshya%20Guidelines.pdf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COP.20.a — End-of-life care is provided in a consistent manner in the organisation.</w:t>
      </w:r>
    </w:p>
    <w:p>
      <w:pPr>
        <w:pStyle w:val="ListParagraph"/>
        <w:numPr>
          <w:ilvl w:val="0"/>
          <w:numId w:val="1"/>
        </w:numPr>
        <w:spacing w:after="60"/>
      </w:pPr>
      <w:r>
        <w:rPr>
          <w:sz w:val="22"/>
          <w:szCs w:val="22"/>
        </w:rPr>
        <w:t xml:space="preserve">Written end-of-life-care guidance.</w:t>
      </w:r>
    </w:p>
    <w:p>
      <w:pPr>
        <w:pStyle w:val="ListParagraph"/>
        <w:numPr>
          <w:ilvl w:val="0"/>
          <w:numId w:val="1"/>
        </w:numPr>
        <w:spacing w:after="60"/>
      </w:pPr>
      <w:r>
        <w:rPr>
          <w:sz w:val="22"/>
          <w:szCs w:val="22"/>
        </w:rPr>
        <w:t xml:space="preserve">Consistency-check record across settings.</w:t>
      </w:r>
    </w:p>
    <w:p>
      <w:pPr>
        <w:pStyle w:val="ListParagraph"/>
        <w:numPr>
          <w:ilvl w:val="0"/>
          <w:numId w:val="1"/>
        </w:numPr>
        <w:spacing w:after="60"/>
      </w:pPr>
      <w:r>
        <w:rPr>
          <w:sz w:val="22"/>
          <w:szCs w:val="22"/>
        </w:rPr>
        <w:t xml:space="preserve">Staff-training record.</w:t>
      </w:r>
    </w:p>
    <w:p>
      <w:pPr>
        <w:pStyle w:val="Heading2"/>
        <w:spacing w:after="100" w:before="220"/>
      </w:pPr>
      <w:r>
        <w:t xml:space="preserve">COP.20.b — A multi-professional approach is used to provide end-of-life care.</w:t>
      </w:r>
    </w:p>
    <w:p>
      <w:pPr>
        <w:pStyle w:val="ListParagraph"/>
        <w:numPr>
          <w:ilvl w:val="0"/>
          <w:numId w:val="1"/>
        </w:numPr>
        <w:spacing w:after="60"/>
      </w:pPr>
      <w:r>
        <w:rPr>
          <w:sz w:val="22"/>
          <w:szCs w:val="22"/>
        </w:rPr>
        <w:t xml:space="preserve">Multi-disciplinary end-of-life-care team record.</w:t>
      </w:r>
    </w:p>
    <w:p>
      <w:pPr>
        <w:pStyle w:val="ListParagraph"/>
        <w:numPr>
          <w:ilvl w:val="0"/>
          <w:numId w:val="1"/>
        </w:numPr>
        <w:spacing w:after="60"/>
      </w:pPr>
      <w:r>
        <w:rPr>
          <w:sz w:val="22"/>
          <w:szCs w:val="22"/>
        </w:rPr>
        <w:t xml:space="preserve">Team-involvement documentation for a sampled case.</w:t>
      </w:r>
    </w:p>
    <w:p>
      <w:pPr>
        <w:pStyle w:val="ListParagraph"/>
        <w:numPr>
          <w:ilvl w:val="0"/>
          <w:numId w:val="1"/>
        </w:numPr>
        <w:spacing w:after="60"/>
      </w:pPr>
      <w:r>
        <w:rPr>
          <w:sz w:val="22"/>
          <w:szCs w:val="22"/>
        </w:rPr>
        <w:t xml:space="preserve">Care-coordination record.</w:t>
      </w:r>
    </w:p>
    <w:p>
      <w:pPr>
        <w:pStyle w:val="Heading2"/>
        <w:spacing w:after="100" w:before="220"/>
      </w:pPr>
      <w:r>
        <w:t xml:space="preserve">COP.20.c — End-of-life care is in consonance with the legal requirements.</w:t>
      </w:r>
    </w:p>
    <w:p>
      <w:pPr>
        <w:pStyle w:val="ListParagraph"/>
        <w:numPr>
          <w:ilvl w:val="0"/>
          <w:numId w:val="1"/>
        </w:numPr>
        <w:spacing w:after="60"/>
      </w:pPr>
      <w:r>
        <w:rPr>
          <w:sz w:val="22"/>
          <w:szCs w:val="22"/>
        </w:rPr>
        <w:t xml:space="preserve">End-of-life-care documentation confirming legal-requirement compliance.</w:t>
      </w:r>
    </w:p>
    <w:p>
      <w:pPr>
        <w:pStyle w:val="ListParagraph"/>
        <w:numPr>
          <w:ilvl w:val="0"/>
          <w:numId w:val="1"/>
        </w:numPr>
        <w:spacing w:after="60"/>
      </w:pPr>
      <w:r>
        <w:rPr>
          <w:sz w:val="22"/>
          <w:szCs w:val="22"/>
        </w:rPr>
        <w:t xml:space="preserve">Consent or advance-directive record, where applicable.</w:t>
      </w:r>
    </w:p>
    <w:p>
      <w:pPr>
        <w:pStyle w:val="ListParagraph"/>
        <w:numPr>
          <w:ilvl w:val="0"/>
          <w:numId w:val="1"/>
        </w:numPr>
        <w:spacing w:after="60"/>
      </w:pPr>
      <w:r>
        <w:rPr>
          <w:sz w:val="22"/>
          <w:szCs w:val="22"/>
        </w:rPr>
        <w:t xml:space="preserve">Compliance-review record.</w:t>
      </w:r>
    </w:p>
    <w:p>
      <w:pPr>
        <w:pStyle w:val="Heading2"/>
        <w:spacing w:after="100" w:before="220"/>
      </w:pPr>
      <w:r>
        <w:t xml:space="preserve">COP.20.d — End-of-life care also addresses the identification of the unique needs of such patient and family.</w:t>
      </w:r>
    </w:p>
    <w:p>
      <w:pPr>
        <w:pStyle w:val="ListParagraph"/>
        <w:numPr>
          <w:ilvl w:val="0"/>
          <w:numId w:val="1"/>
        </w:numPr>
        <w:spacing w:after="60"/>
      </w:pPr>
      <w:r>
        <w:rPr>
          <w:sz w:val="22"/>
          <w:szCs w:val="22"/>
        </w:rPr>
        <w:t xml:space="preserve">Unique-needs identification record for patient and family — cultural, spiritual, psychosocial.</w:t>
      </w:r>
    </w:p>
    <w:p>
      <w:pPr>
        <w:pStyle w:val="ListParagraph"/>
        <w:numPr>
          <w:ilvl w:val="0"/>
          <w:numId w:val="1"/>
        </w:numPr>
        <w:spacing w:after="60"/>
      </w:pPr>
      <w:r>
        <w:rPr>
          <w:sz w:val="22"/>
          <w:szCs w:val="22"/>
        </w:rPr>
        <w:t xml:space="preserve">Needs-addressed documentation.</w:t>
      </w:r>
    </w:p>
    <w:p>
      <w:pPr>
        <w:pStyle w:val="ListParagraph"/>
        <w:numPr>
          <w:ilvl w:val="0"/>
          <w:numId w:val="1"/>
        </w:numPr>
        <w:spacing w:after="60"/>
      </w:pPr>
      <w:r>
        <w:rPr>
          <w:sz w:val="22"/>
          <w:szCs w:val="22"/>
        </w:rPr>
        <w:t xml:space="preserve">Family-involvement record.</w:t>
      </w:r>
    </w:p>
    <w:p>
      <w:pPr>
        <w:pStyle w:val="Heading2"/>
        <w:spacing w:after="100" w:before="220"/>
      </w:pPr>
      <w:r>
        <w:t xml:space="preserve">COP.20.e — Symptomatic treatment is provided and where appropriate measures are taken for the alleviation of pain. References 1. Bartoli F, Dell'Osso B, Crocamo C, Fiorillo A, Ketter TA, Suppes T, Clerici M, Carra G. Benefits and harms of low and high second-generation antipsychotics doses for bipolar depression: a meta-analysis. Journal of Psychiatric Research. 2017 May 1;88:38-46. 2. Kulju S, Morrish W, King L, Bender J, Gunnar W. Patient misidentification events in the Veterans Health Administration: a comprehensive review in the context of high-reliability health care. Journal of Patient Safety. 2022 Jan 1;18(1):e290-6. 3. Sutton E, Armstrong N, Locock L, Conroy S, Tarrant C. Visual identifiers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Identification of proteins associated with splicing factors Ntr1, Ntr2, Brr2 and Gpl1 in the fission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Classification and minimum standards for emergency medical teams.202. [cited 2023 Dec 4]. Available from: https://extranet.who.int/emt/sites/default/files/BlueBook2021.pdf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https://www.icn.ch/sites/default/files/2023-06/ICN_Code-of-Ethics_EN_Web.pdf.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difficult airway. Anesthesiology. 2022 Jan 1;136(1):31-81. 46. Ateriya N, Saraf A, Meshram VP, Setia P. Telemedicine and virtual consultation: The Indian perspective. National Medical Journal of India. 2018 Jul 1;31(4). 47. Carthon JM, Hatfield L, Plover C, Dierkes A, Davis L, Hedgeland T, Sanders AM, Visco F, Holland S, Ballinghoff J, Del Guidice M. Association of nurse engagement and nurse staffing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ahrq.gov/sites/default/files/pdf/pressure-ulcer-prevention_research-protocol.pdf. 50. Byrne JP, Xiong W, Gomez D, Mason S, Karanicolas P, Rizoli S, Tien H, Nathens AB. Redefining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Griffith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official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definition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Official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sites/default/files/2022-03/LaQshya%20Guidelines.pdf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p>
      <w:pPr>
        <w:pStyle w:val="ListParagraph"/>
        <w:numPr>
          <w:ilvl w:val="0"/>
          <w:numId w:val="1"/>
        </w:numPr>
        <w:spacing w:after="60"/>
      </w:pPr>
      <w:r>
        <w:rPr>
          <w:sz w:val="22"/>
          <w:szCs w:val="22"/>
        </w:rPr>
        <w:t xml:space="preserve">Symptomatic-treatment and pain-alleviation record.</w:t>
      </w:r>
    </w:p>
    <w:p>
      <w:pPr>
        <w:pStyle w:val="ListParagraph"/>
        <w:numPr>
          <w:ilvl w:val="0"/>
          <w:numId w:val="1"/>
        </w:numPr>
        <w:spacing w:after="60"/>
      </w:pPr>
      <w:r>
        <w:rPr>
          <w:sz w:val="22"/>
          <w:szCs w:val="22"/>
        </w:rPr>
        <w:t xml:space="preserve">Cross-reference to COP.17 pain management.</w:t>
      </w:r>
    </w:p>
    <w:p>
      <w:pPr>
        <w:pStyle w:val="ListParagraph"/>
        <w:numPr>
          <w:ilvl w:val="0"/>
          <w:numId w:val="1"/>
        </w:numPr>
        <w:spacing w:after="60"/>
      </w:pPr>
      <w:r>
        <w:rPr>
          <w:sz w:val="22"/>
          <w:szCs w:val="22"/>
        </w:rPr>
        <w:t xml:space="preserve">Comfort-care documentation.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«HCO/COP/POL/20»  |  Controlled document  |  End-of-Life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2026-08-21T11:29:55.510Z</dcterms:created>
  <dcterms:modified xsi:type="dcterms:W3CDTF">2026-08-21T11:29:55.512Z</dcterms:modified>
</cp:coreProperties>
</file>

<file path=docProps/custom.xml><?xml version="1.0" encoding="utf-8"?>
<Properties xmlns="http://schemas.openxmlformats.org/officeDocument/2006/custom-properties" xmlns:vt="http://schemas.openxmlformats.org/officeDocument/2006/docPropsVTypes"/>
</file>