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MOM.2: The organisation develops, updates and implements a hospital formulary.</w:t>
      </w:r>
    </w:p>
    <w:p>
      <w:pPr>
        <w:spacing w:after="140"/>
      </w:pPr>
      <w:r>
        <w:rPr>
          <w:sz w:val="22"/>
          <w:szCs w:val="22"/>
        </w:rPr>
        <w:t xml:space="preserve">It covers objective elements MOM.2.a–f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MOM.2.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«Drug and Therapeutics Committee Chair», pharmacy, nursing, treating doctors and the Quality Coordinator.</w:t>
      </w:r>
    </w:p>
    <w:p>
      <w:pPr>
        <w:spacing w:after="140"/>
      </w:pPr>
      <w:r>
        <w:rPr>
          <w:sz w:val="22"/>
          <w:szCs w:val="22"/>
        </w:rPr>
        <w:t xml:space="preserve">It covers 6 objective elements (MOM.2.a, MOM.2.b, MOM.2.c, MOM.2.d, MOM.2.e, MOM.2.f).</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scope...</w:t>
      </w:r>
    </w:p>
    <w:p>
      <w:pPr>
        <w:spacing w:after="140"/>
      </w:pPr>
      <w:r>
        <w:rPr>
          <w:sz w:val="22"/>
          <w:szCs w:val="22"/>
        </w:rPr>
        <w:t xml:space="preserve">The «Drug and Therapeutics Committee» develops the hospital formulary: the list of medications appropriate for the patients «Hospital Name»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Method note (from guidebook interpretation): The multidisciplinary committee shall prepare the organisation's formulary. The formulary shall include medications necessary to meet the organisation’s mission, patient needs and scope of services. The formulary could be prepared keeping in view the “National List of Essential Medicines” and “WHO Model List of Essential Medicines”. It could also take into consideration the harm potential of the medication, interactions with other medications and likelihood of patient safety incidents. The organisation could look at the possibility of having system-wise/speciality wise formulary. At a minimum, the formulary shall include the name of the molecule, formulation and strength(s). The organisation shall endeavour to limit the number of drug concentrations of a particular drug in the formulary. Implants and devices are included in drugs and shall be included in the formulary.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spacing w:after="140"/>
      </w:pPr>
      <w:r>
        <w:rPr>
          <w:sz w:val="22"/>
          <w:szCs w:val="22"/>
        </w:rPr>
        <w:t xml:space="preserve">Method note (from guidebook interpretation): The committee may review and update all medications or only certain medication categories. The review may be done speciality wise. Non-formulary drugs, which were procured in the previous year regularly, may be included in the revised list. Aspects of patient safety, including adverse drug reactions, changing disease pattern, changing resistance pattern, and cost, could be taken into consideration during the review.</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spacing w:after="140"/>
      </w:pPr>
      <w:r>
        <w:rPr>
          <w:sz w:val="22"/>
          <w:szCs w:val="22"/>
        </w:rPr>
        <w:t xml:space="preserve">Method note (from guidebook interpretation): The current formulary shall be made available to all treating doctors of the organisation. The organisation needs to ensure that clinicians have access to the current version of the formulary. The formulary could be made available in either physical or electronic form.</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spacing w:after="140"/>
      </w:pPr>
      <w:r>
        <w:rPr>
          <w:sz w:val="22"/>
          <w:szCs w:val="22"/>
        </w:rPr>
        <w:t xml:space="preserve">Method note (from guidebook interpretation): The organisation shall ensure that prescriptions are as per the formulary. It shall monitor the frequency of prescriptions being rejected/local purchase done because it contained non-formulary drugs. = Commitment = Achievement Excellence.</w:t>
      </w:r>
    </w:p>
    <w:p>
      <w:pPr>
        <w:pStyle w:val="Heading2"/>
        <w:spacing w:after="100" w:before="220"/>
      </w:pPr>
      <w:r>
        <w:t xml:space="preserve">5.5 The organisation adheres to the procedure for the acquisition of...</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Method note (from guidebook interpretation): The procedure shall address the issues of vendor selection, vendor evaluation, reorder levels, indenting process, generation of the purchase order, and receipt of goods. The procedure also addresses managing stock-outs due to various reasons.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Method note (from guidebook interpretation): Local purchase/hotline, which takes care of the immediate requirement are examples of the procedure to obtain medications not listed in the formulary. Whenever there is the local purchase of a medication thats not listed in the formulary, the organisation shall have a process of evaluation, authorisation and ratification and decision-making on its subsequent inclusion in the formulary if necessary. Standard Medications are stored appropriately and are available where MOM.3. -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MOM.2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Formulary list built collaboratively by pharmacy, clinicians and nursing, matched to the defined clinical scope (AAC.1).</w:t>
      </w:r>
    </w:p>
    <w:p>
      <w:pPr>
        <w:pStyle w:val="ListParagraph"/>
        <w:numPr>
          <w:ilvl w:val="0"/>
          <w:numId w:val="1"/>
        </w:numPr>
        <w:spacing w:after="60"/>
      </w:pPr>
      <w:r>
        <w:rPr>
          <w:sz w:val="22"/>
          <w:szCs w:val="22"/>
        </w:rPr>
        <w:t xml:space="preserve">Formulary entries recording generic name, strength, dosage form and high-risk flag.</w:t>
      </w:r>
    </w:p>
    <w:p>
      <w:pPr>
        <w:pStyle w:val="ListParagraph"/>
        <w:numPr>
          <w:ilvl w:val="0"/>
          <w:numId w:val="1"/>
        </w:numPr>
        <w:spacing w:after="60"/>
      </w:pPr>
      <w:r>
        <w:rPr>
          <w:sz w:val="22"/>
          <w:szCs w:val="22"/>
        </w:rPr>
        <w:t xml:space="preserve">Medical Superintendent's approval record for the first issue.</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Annual formulary review record with additions, deletions and restrictions minuted with clinical reason.</w:t>
      </w:r>
    </w:p>
    <w:p>
      <w:pPr>
        <w:pStyle w:val="ListParagraph"/>
        <w:numPr>
          <w:ilvl w:val="0"/>
          <w:numId w:val="1"/>
        </w:numPr>
        <w:spacing w:after="60"/>
      </w:pPr>
      <w:r>
        <w:rPr>
          <w:sz w:val="22"/>
          <w:szCs w:val="22"/>
        </w:rPr>
        <w:t xml:space="preserve">Urgent-addition or shortage-substitution record ratified at the next meeting.</w:t>
      </w:r>
    </w:p>
    <w:p>
      <w:pPr>
        <w:pStyle w:val="ListParagraph"/>
        <w:numPr>
          <w:ilvl w:val="0"/>
          <w:numId w:val="1"/>
        </w:numPr>
        <w:spacing w:after="60"/>
      </w:pPr>
      <w:r>
        <w:rPr>
          <w:sz w:val="22"/>
          <w:szCs w:val="22"/>
        </w:rPr>
        <w:t xml:space="preserve">Dated current-formulary cover record.</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Formulary availability record at prescribing locations — OPD, wards, ICU, emergency, OT, HIS/intranet.</w:t>
      </w:r>
    </w:p>
    <w:p>
      <w:pPr>
        <w:pStyle w:val="ListParagraph"/>
        <w:numPr>
          <w:ilvl w:val="0"/>
          <w:numId w:val="1"/>
        </w:numPr>
        <w:spacing w:after="60"/>
      </w:pPr>
      <w:r>
        <w:rPr>
          <w:sz w:val="22"/>
          <w:szCs w:val="22"/>
        </w:rPr>
        <w:t xml:space="preserve">Outdated-copy removal record when a new version is issued.</w:t>
      </w:r>
    </w:p>
    <w:p>
      <w:pPr>
        <w:pStyle w:val="ListParagraph"/>
        <w:numPr>
          <w:ilvl w:val="0"/>
          <w:numId w:val="1"/>
        </w:numPr>
        <w:spacing w:after="60"/>
      </w:pPr>
      <w:r>
        <w:rPr>
          <w:sz w:val="22"/>
          <w:szCs w:val="22"/>
        </w:rPr>
        <w:t xml:space="preserve">Quarterly availability spot-check record by the Quality Coordinator.</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Prescription-versus-formulary audit record.</w:t>
      </w:r>
    </w:p>
    <w:p>
      <w:pPr>
        <w:pStyle w:val="ListParagraph"/>
        <w:numPr>
          <w:ilvl w:val="0"/>
          <w:numId w:val="1"/>
        </w:numPr>
        <w:spacing w:after="60"/>
      </w:pPr>
      <w:r>
        <w:rPr>
          <w:sz w:val="22"/>
          <w:szCs w:val="22"/>
        </w:rPr>
        <w:t xml:space="preserve">Non-formulary-prescribing flag record from pharmacy to the Medication Safety Officer.</w:t>
      </w:r>
    </w:p>
    <w:p>
      <w:pPr>
        <w:pStyle w:val="ListParagraph"/>
        <w:numPr>
          <w:ilvl w:val="0"/>
          <w:numId w:val="1"/>
        </w:numPr>
        <w:spacing w:after="60"/>
      </w:pPr>
      <w:r>
        <w:rPr>
          <w:sz w:val="22"/>
          <w:szCs w:val="22"/>
        </w:rPr>
        <w:t xml:space="preserve">DTC record of any department's repeated non-adherence tabled for review.</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Procurement record showing approved supplier, receipt quality checks, batch and expiry logged.</w:t>
      </w:r>
    </w:p>
    <w:p>
      <w:pPr>
        <w:pStyle w:val="ListParagraph"/>
        <w:numPr>
          <w:ilvl w:val="0"/>
          <w:numId w:val="1"/>
        </w:numPr>
        <w:spacing w:after="60"/>
      </w:pPr>
      <w:r>
        <w:rPr>
          <w:sz w:val="22"/>
          <w:szCs w:val="22"/>
        </w:rPr>
        <w:t xml:space="preserve">Rejected-delivery record for any item failing identity, integrity or cold-chain check.</w:t>
      </w:r>
    </w:p>
    <w:p>
      <w:pPr>
        <w:pStyle w:val="ListParagraph"/>
        <w:numPr>
          <w:ilvl w:val="0"/>
          <w:numId w:val="1"/>
        </w:numPr>
        <w:spacing w:after="60"/>
      </w:pPr>
      <w:r>
        <w:rPr>
          <w:sz w:val="22"/>
          <w:szCs w:val="22"/>
        </w:rPr>
        <w:t xml:space="preserve">Cross-reference to the MOM.1.d stock-out procedure for any off-procedure purchase.</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Written non-formulary request record — clinical justification, approval, source, batch and indication.</w:t>
      </w:r>
    </w:p>
    <w:p>
      <w:pPr>
        <w:pStyle w:val="ListParagraph"/>
        <w:numPr>
          <w:ilvl w:val="0"/>
          <w:numId w:val="1"/>
        </w:numPr>
        <w:spacing w:after="60"/>
      </w:pPr>
      <w:r>
        <w:rPr>
          <w:sz w:val="22"/>
          <w:szCs w:val="22"/>
        </w:rPr>
        <w:t xml:space="preserve">Formulary-amendment consideration record where an item is needed routinely.</w:t>
      </w:r>
    </w:p>
    <w:p>
      <w:pPr>
        <w:pStyle w:val="ListParagraph"/>
        <w:numPr>
          <w:ilvl w:val="0"/>
          <w:numId w:val="1"/>
        </w:numPr>
        <w:spacing w:after="60"/>
      </w:pPr>
      <w:r>
        <w:rPr>
          <w:sz w:val="22"/>
          <w:szCs w:val="22"/>
        </w:rPr>
        <w:t xml:space="preserve">Same-shift retrospective documentation record for emergency non-formulary use.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2026-08-21T11:28:31.908Z</dcterms:created>
  <dcterms:modified xsi:type="dcterms:W3CDTF">2026-08-21T11:28:31.909Z</dcterms:modified>
</cp:coreProperties>
</file>

<file path=docProps/custom.xml><?xml version="1.0" encoding="utf-8"?>
<Properties xmlns="http://schemas.openxmlformats.org/officeDocument/2006/custom-properties" xmlns:vt="http://schemas.openxmlformats.org/officeDocument/2006/docPropsVTypes"/>
</file>