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Ethical Management of the Organisation</w:t>
      </w:r>
    </w:p>
    <w:p>
      <w:pPr>
        <w:spacing w:after="240"/>
        <w:jc w:val="center"/>
      </w:pPr>
      <w:r>
        <w:rPr>
          <w:i/>
          <w:iCs/>
          <w:sz w:val="20"/>
          <w:szCs w:val="20"/>
        </w:rPr>
        <w:t xml:space="preserve">HCO Full Accreditation, 6th Edition — ROM.2.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Those responsible for governance manage the organisation in an ethical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ROM.2: Those responsible for governance manage the organisation in an ethical manner.</w:t>
      </w:r>
    </w:p>
    <w:p>
      <w:pPr>
        <w:spacing w:after="140"/>
      </w:pPr>
      <w:r>
        <w:rPr>
          <w:sz w:val="22"/>
          <w:szCs w:val="22"/>
        </w:rPr>
        <w:t xml:space="preserve">It covers objective elements ROM.2.a–d (4 elements).</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owns ROM.2. Related AAC, COP, MOM, PRE, IPC and PSQ duties stay with those policies — cross-reference only.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«Hospital Name», including the «Medical Superintendent», «those responsible for governance» as identified under ROM.1, departmental leaders and the Quality Coordinator.</w:t>
      </w:r>
    </w:p>
    <w:p>
      <w:pPr>
        <w:spacing w:after="140"/>
      </w:pPr>
      <w:r>
        <w:rPr>
          <w:sz w:val="22"/>
          <w:szCs w:val="22"/>
        </w:rPr>
        <w:t xml:space="preserve">It covers 4 objective elements (ROM.2.a, ROM.2.b, ROM.2.c, ROM.2.d).</w:t>
      </w:r>
    </w:p>
    <w:p>
      <w:pPr>
        <w:spacing w:after="140"/>
      </w:pPr>
      <w:r>
        <w:rPr>
          <w:sz w:val="22"/>
          <w:szCs w:val="22"/>
        </w:rPr>
        <w:t xml:space="preserve">Boundaries: do not overwrite HCO AAC, COP, MOM, PRE, IPC or PSQ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ROM.2 so that those responsible for governance manage the organisation in an ethical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leaders establish the organisation’s ethical management framework.</w:t>
      </w:r>
    </w:p>
    <w:p>
      <w:pPr>
        <w:spacing w:after="80"/>
      </w:pPr>
      <w:r>
        <w:rPr>
          <w:sz w:val="22"/>
          <w:szCs w:val="22"/>
        </w:rPr>
        <w:t xml:space="preserve">2. Do not skip: The ethical management framework includes processes for managing issues with ethical implications, dilemmas...</w:t>
      </w:r>
    </w:p>
    <w:p>
      <w:pPr>
        <w:spacing w:after="80"/>
      </w:pPr>
      <w:r>
        <w:rPr>
          <w:sz w:val="22"/>
          <w:szCs w:val="22"/>
        </w:rPr>
        <w:t xml:space="preserve">3. Do not skip: The organisation discloses its ownership.</w:t>
      </w:r>
    </w:p>
    <w:p>
      <w:pPr>
        <w:spacing w:after="80"/>
      </w:pPr>
      <w:r>
        <w:rPr>
          <w:sz w:val="22"/>
          <w:szCs w:val="22"/>
        </w:rPr>
        <w:t xml:space="preserve">4. Do not skip: The organisation honestly portrays its affiliations and accreditations.</w:t>
      </w:r>
    </w:p>
    <w:p>
      <w:pPr>
        <w:spacing w:after="80"/>
      </w:pPr>
      <w:r>
        <w:rPr>
          <w:sz w:val="22"/>
          <w:szCs w:val="22"/>
        </w:rPr>
        <w:t xml:space="preserve">5. Staff who see a ROM.2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leaders establish the organisation’s ethical management framework</w:t>
      </w:r>
    </w:p>
    <w:p>
      <w:pPr>
        <w:spacing w:after="140"/>
      </w:pPr>
      <w:r>
        <w:rPr>
          <w:sz w:val="22"/>
          <w:szCs w:val="22"/>
        </w:rPr>
        <w:t xml:space="preserve">Leaders establish a written ethical-management framework: principles, who decides, how issues are raised, and how decisions are recorded.</w:t>
      </w:r>
    </w:p>
    <w:p>
      <w:pPr>
        <w:spacing w:after="140"/>
      </w:pPr>
      <w:r>
        <w:rPr>
          <w:sz w:val="22"/>
          <w:szCs w:val="22"/>
        </w:rPr>
        <w:t xml:space="preserve">The «Medical Superintendent» keeps the current framework. Minutes-only notes are not this CORE asterisked element.</w:t>
      </w:r>
    </w:p>
    <w:p>
      <w:pPr>
        <w:spacing w:after="140"/>
      </w:pPr>
      <w:r>
        <w:rPr>
          <w:sz w:val="22"/>
          <w:szCs w:val="22"/>
        </w:rPr>
        <w:t xml:space="preserve">Method note (from guidebook interpretation): The organisation shall function ethically. Transparency in its actions shall be one of its guiding principles. Handling of complaints, grievances, clinical care delivery and research shall be some of the areas to address. The framework includes codes of conduct. A good reference guide for minimum code of conduct for doctors is "Code of medical ethics, 2002" published by Medical Council of India.</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ethical management framework includes processes for managing issues...</w:t>
      </w:r>
    </w:p>
    <w:p>
      <w:pPr>
        <w:spacing w:after="140"/>
      </w:pPr>
      <w:r>
        <w:rPr>
          <w:sz w:val="22"/>
          <w:szCs w:val="22"/>
        </w:rPr>
        <w:t xml:space="preserve">The framework includes processes for managing issues with ethical implications, dilemmas and concerns (clinical and organisational examples the organisation names).</w:t>
      </w:r>
    </w:p>
    <w:p>
      <w:pPr>
        <w:spacing w:after="140"/>
      </w:pPr>
      <w:r>
        <w:rPr>
          <w:sz w:val="22"/>
          <w:szCs w:val="22"/>
        </w:rPr>
        <w:t xml:space="preserve">A named path, timeline and record exist. An informal corridor discussion is not this asterisked element.</w:t>
      </w:r>
    </w:p>
    <w:p>
      <w:pPr>
        <w:spacing w:after="140"/>
      </w:pPr>
      <w:r>
        <w:rPr>
          <w:sz w:val="22"/>
          <w:szCs w:val="22"/>
        </w:rPr>
        <w:t xml:space="preserve">Method note (from guidebook interpretation): The issues may be clinical or non-clinical. Some examples include conflict of interest, breach of confidentiality, ethical behaviour, informed consent, and withdrawing life-sustaining treatment. There shall be a consistent approach to ethical decision making throughout the organisation based on the guiding principle(s). Staff shall be provided with appropriate guidance with respect to their actions based on these principles. The approach shall include process for collecting, collating and analysing ethical dilemmas for taking corrective and preventive actions within a defined time frame. Ethical dilemma could arise when there are conflicting decisions regarding provision or withdrawal of life support or treatment. Decisions made regarding ethical issues shall be documented, and opportunities for improvement could be identified.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discloses its ownership</w:t>
      </w:r>
    </w:p>
    <w:p>
      <w:pPr>
        <w:spacing w:after="140"/>
      </w:pPr>
      <w:r>
        <w:rPr>
          <w:sz w:val="22"/>
          <w:szCs w:val="22"/>
        </w:rPr>
        <w:t xml:space="preserve">The organisation discloses its ownership in a defined public place (reception display, website, statutory board as applicable).</w:t>
      </w:r>
    </w:p>
    <w:p>
      <w:pPr>
        <w:spacing w:after="140"/>
      </w:pPr>
      <w:r>
        <w:rPr>
          <w:sz w:val="22"/>
          <w:szCs w:val="22"/>
        </w:rPr>
        <w:t xml:space="preserve">The «Medical Superintendent» holds the current disclosure text and checks it «annually».</w:t>
      </w:r>
    </w:p>
    <w:p>
      <w:pPr>
        <w:spacing w:after="140"/>
      </w:pPr>
      <w:r>
        <w:rPr>
          <w:sz w:val="22"/>
          <w:szCs w:val="22"/>
        </w:rPr>
        <w:t xml:space="preserve">Method note (from guidebook interpretation): Hospitals are governed under the provisions of Companies Act, Charitable Trust Act, Societies Registration Act, Limited Liability Partnership Act, sole proprietorship and Government of India/State Government. The ownership of the hospital shall be disclosed accordingly. The disclosure could be in the form of a registration certificate.</w:t>
      </w:r>
    </w:p>
    <w:p>
      <w:pPr>
        <w:pStyle w:val="Heading2"/>
        <w:spacing w:after="100" w:before="220"/>
      </w:pPr>
      <w:r>
        <w:t xml:space="preserve">5.4 The organisation honestly portrays its affiliations and accreditations</w:t>
      </w:r>
    </w:p>
    <w:p>
      <w:pPr>
        <w:spacing w:after="140"/>
      </w:pPr>
      <w:r>
        <w:rPr>
          <w:sz w:val="22"/>
          <w:szCs w:val="22"/>
        </w:rPr>
        <w:t xml:space="preserve">The organisation honestly portrays its affiliations and accreditations: only current, in-scope programmes are displayed; expired or applied-for status is not shown as awarded.</w:t>
      </w:r>
    </w:p>
    <w:p>
      <w:pPr>
        <w:spacing w:after="140"/>
      </w:pPr>
      <w:r>
        <w:rPr>
          <w:sz w:val="22"/>
          <w:szCs w:val="22"/>
        </w:rPr>
        <w:t xml:space="preserve">The «Quality Coordinator» reviews public materials «quarterly».</w:t>
      </w:r>
    </w:p>
    <w:p>
      <w:pPr>
        <w:spacing w:after="140"/>
      </w:pPr>
      <w:r>
        <w:rPr>
          <w:sz w:val="22"/>
          <w:szCs w:val="22"/>
        </w:rPr>
        <w:t xml:space="preserve">Method note (from guidebook interpretation): It implies that the organisation conveys its affiliations, accreditations for specific departments or whole hospital in an honest manner, wherever such exist.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ROM.2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Ethical Management of the Organisation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ROM.2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«Hospital Name»: governance role document, ethical-management framework, ESG / social-responsibility programme, applicable-legislation register, risk-management plan, outsourcing agreements named for ROM.2.</w:t>
      </w:r>
    </w:p>
    <w:p>
      <w:pPr>
        <w:pStyle w:val="Heading1"/>
        <w:spacing w:after="120" w:before="280"/>
      </w:pPr>
      <w:r>
        <w:t xml:space="preserve">10. Distribution</w:t>
      </w:r>
    </w:p>
    <w:p>
      <w:pPr>
        <w:spacing w:after="140"/>
      </w:pPr>
      <w:r>
        <w:rPr>
          <w:sz w:val="22"/>
          <w:szCs w:val="22"/>
        </w:rPr>
        <w:t xml:space="preserve">Medical Superintendent; those responsible for governance; Quality Coordinator; departmental leaders; staff covered by ROM.2</w:t>
      </w:r>
    </w:p>
    <w:p>
      <w:pPr>
        <w:pStyle w:val="Heading1"/>
        <w:spacing w:after="120" w:before="280"/>
      </w:pPr>
      <w:r>
        <w:t xml:space="preserve">11.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12. Traceability to NABH HCO Full Accreditation 6th Edition ROM.2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leaders establish the organisation’s ethical management framework.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ethical management framework includes processes for managing issues with ethical implications, dilemmas and concerns.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discloses its ownership.</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honestly portrays its affiliations and accreditations.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ROM.2.a — The leaders establish the organisation’s ethical management framework.</w:t>
      </w:r>
    </w:p>
    <w:p>
      <w:pPr>
        <w:pStyle w:val="ListParagraph"/>
        <w:numPr>
          <w:ilvl w:val="0"/>
          <w:numId w:val="1"/>
        </w:numPr>
        <w:spacing w:after="60"/>
      </w:pPr>
      <w:r>
        <w:rPr>
          <w:sz w:val="22"/>
          <w:szCs w:val="22"/>
        </w:rPr>
        <w:t xml:space="preserve">The written ethical-management framework: principles, decision authority and escalation path.</w:t>
      </w:r>
    </w:p>
    <w:p>
      <w:pPr>
        <w:pStyle w:val="ListParagraph"/>
        <w:numPr>
          <w:ilvl w:val="0"/>
          <w:numId w:val="1"/>
        </w:numPr>
        <w:spacing w:after="60"/>
      </w:pPr>
      <w:r>
        <w:rPr>
          <w:sz w:val="22"/>
          <w:szCs w:val="22"/>
        </w:rPr>
        <w:t xml:space="preserve">Dated approval record naming who owns the framework.</w:t>
      </w:r>
    </w:p>
    <w:p>
      <w:pPr>
        <w:pStyle w:val="ListParagraph"/>
        <w:numPr>
          <w:ilvl w:val="0"/>
          <w:numId w:val="1"/>
        </w:numPr>
        <w:spacing w:after="60"/>
      </w:pPr>
      <w:r>
        <w:rPr>
          <w:sz w:val="22"/>
          <w:szCs w:val="22"/>
        </w:rPr>
        <w:t xml:space="preserve">Evidence the framework is a standing document, not minutes-only notes.</w:t>
      </w:r>
    </w:p>
    <w:p>
      <w:pPr>
        <w:pStyle w:val="Heading2"/>
        <w:spacing w:after="100" w:before="220"/>
      </w:pPr>
      <w:r>
        <w:t xml:space="preserve">ROM.2.b — The ethical management framework includes processes for managing issues with ethical implications, dilemmas and concerns.</w:t>
      </w:r>
    </w:p>
    <w:p>
      <w:pPr>
        <w:pStyle w:val="ListParagraph"/>
        <w:numPr>
          <w:ilvl w:val="0"/>
          <w:numId w:val="1"/>
        </w:numPr>
        <w:spacing w:after="60"/>
      </w:pPr>
      <w:r>
        <w:rPr>
          <w:sz w:val="22"/>
          <w:szCs w:val="22"/>
        </w:rPr>
        <w:t xml:space="preserve">Named escalation path and timeline for handling an ethical issue, dilemma or concern.</w:t>
      </w:r>
    </w:p>
    <w:p>
      <w:pPr>
        <w:pStyle w:val="ListParagraph"/>
        <w:numPr>
          <w:ilvl w:val="0"/>
          <w:numId w:val="1"/>
        </w:numPr>
        <w:spacing w:after="60"/>
      </w:pPr>
      <w:r>
        <w:rPr>
          <w:sz w:val="22"/>
          <w:szCs w:val="22"/>
        </w:rPr>
        <w:t xml:space="preserve">Log of ethical issues raised, with resolution and date.</w:t>
      </w:r>
    </w:p>
    <w:p>
      <w:pPr>
        <w:pStyle w:val="ListParagraph"/>
        <w:numPr>
          <w:ilvl w:val="0"/>
          <w:numId w:val="1"/>
        </w:numPr>
        <w:spacing w:after="60"/>
      </w:pPr>
      <w:r>
        <w:rPr>
          <w:sz w:val="22"/>
          <w:szCs w:val="22"/>
        </w:rPr>
        <w:t xml:space="preserve">At least one example case record showing the process was actually used.</w:t>
      </w:r>
    </w:p>
    <w:p>
      <w:pPr>
        <w:pStyle w:val="Heading2"/>
        <w:spacing w:after="100" w:before="220"/>
      </w:pPr>
      <w:r>
        <w:t xml:space="preserve">ROM.2.c — The organisation discloses its ownership.</w:t>
      </w:r>
    </w:p>
    <w:p>
      <w:pPr>
        <w:pStyle w:val="ListParagraph"/>
        <w:numPr>
          <w:ilvl w:val="0"/>
          <w:numId w:val="1"/>
        </w:numPr>
        <w:spacing w:after="60"/>
      </w:pPr>
      <w:r>
        <w:rPr>
          <w:sz w:val="22"/>
          <w:szCs w:val="22"/>
        </w:rPr>
        <w:t xml:space="preserve">Current ownership-disclosure text.</w:t>
      </w:r>
    </w:p>
    <w:p>
      <w:pPr>
        <w:pStyle w:val="ListParagraph"/>
        <w:numPr>
          <w:ilvl w:val="0"/>
          <w:numId w:val="1"/>
        </w:numPr>
        <w:spacing w:after="60"/>
      </w:pPr>
      <w:r>
        <w:rPr>
          <w:sz w:val="22"/>
          <w:szCs w:val="22"/>
        </w:rPr>
        <w:t xml:space="preserve">Evidence of public display — reception, website, or the statutory board where applicable.</w:t>
      </w:r>
    </w:p>
    <w:p>
      <w:pPr>
        <w:pStyle w:val="ListParagraph"/>
        <w:numPr>
          <w:ilvl w:val="0"/>
          <w:numId w:val="1"/>
        </w:numPr>
        <w:spacing w:after="60"/>
      </w:pPr>
      <w:r>
        <w:rPr>
          <w:sz w:val="22"/>
          <w:szCs w:val="22"/>
        </w:rPr>
        <w:t xml:space="preserve">Annual check or update record for the disclosure.</w:t>
      </w:r>
    </w:p>
    <w:p>
      <w:pPr>
        <w:pStyle w:val="Heading2"/>
        <w:spacing w:after="100" w:before="220"/>
      </w:pPr>
      <w:r>
        <w:t xml:space="preserve">ROM.2.d — The organisation honestly portrays its affiliations and accreditations.</w:t>
      </w:r>
    </w:p>
    <w:p>
      <w:pPr>
        <w:pStyle w:val="ListParagraph"/>
        <w:numPr>
          <w:ilvl w:val="0"/>
          <w:numId w:val="1"/>
        </w:numPr>
        <w:spacing w:after="60"/>
      </w:pPr>
      <w:r>
        <w:rPr>
          <w:sz w:val="22"/>
          <w:szCs w:val="22"/>
        </w:rPr>
        <w:t xml:space="preserve">Current list of affiliations and accreditations shown in public materials.</w:t>
      </w:r>
    </w:p>
    <w:p>
      <w:pPr>
        <w:pStyle w:val="ListParagraph"/>
        <w:numPr>
          <w:ilvl w:val="0"/>
          <w:numId w:val="1"/>
        </w:numPr>
        <w:spacing w:after="60"/>
      </w:pPr>
      <w:r>
        <w:rPr>
          <w:sz w:val="22"/>
          <w:szCs w:val="22"/>
        </w:rPr>
        <w:t xml:space="preserve">Quarterly review record confirming no expired or applied-for status is shown as awarded.</w:t>
      </w:r>
    </w:p>
    <w:p>
      <w:pPr>
        <w:pStyle w:val="ListParagraph"/>
        <w:numPr>
          <w:ilvl w:val="0"/>
          <w:numId w:val="1"/>
        </w:numPr>
        <w:spacing w:after="60"/>
      </w:pPr>
      <w:r>
        <w:rPr>
          <w:sz w:val="22"/>
          <w:szCs w:val="22"/>
        </w:rPr>
        <w:t xml:space="preserve">Correction record for any instance found and fixed.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«HCO/ROM/POL/02»  |  Controlled document  |  Ethical Management of the Organisation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2026-08-21T11:03:26.301Z</dcterms:created>
  <dcterms:modified xsi:type="dcterms:W3CDTF">2026-08-21T11:03:26.304Z</dcterms:modified>
</cp:coreProperties>
</file>

<file path=docProps/custom.xml><?xml version="1.0" encoding="utf-8"?>
<Properties xmlns="http://schemas.openxmlformats.org/officeDocument/2006/custom-properties" xmlns:vt="http://schemas.openxmlformats.org/officeDocument/2006/docPropsVTypes"/>
</file>