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Sustainability, Social Responsibility and Staff Well-being</w:t>
      </w:r>
    </w:p>
    <w:p>
      <w:pPr>
        <w:spacing w:after="240"/>
        <w:jc w:val="center"/>
      </w:pPr>
      <w:r>
        <w:rPr>
          <w:i/>
          <w:iCs/>
          <w:sz w:val="20"/>
          <w:szCs w:val="20"/>
        </w:rPr>
        <w:t xml:space="preserve">HCO Full Accreditation, 6th Edition — ROM.3.</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«HCO/ROM/POL/03»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Those responsible for governance ensure sustainability in hospitals by addressing environmental, social and economic factors from long term well-being of healthcare system and community.</w:t>
      </w:r>
    </w:p>
    <w:p>
      <w:pPr>
        <w:pStyle w:val="Heading1"/>
        <w:spacing w:after="120" w:before="280"/>
      </w:pPr>
      <w:r>
        <w:t xml:space="preserve">1. Purpose</w:t>
      </w:r>
    </w:p>
    <w:p>
      <w:pPr>
        <w:spacing w:after="140"/>
      </w:pPr>
      <w:r>
        <w:rPr>
          <w:sz w:val="22"/>
          <w:szCs w:val="22"/>
        </w:rPr>
        <w:t xml:space="preserve">This policy says how «Hospital Name» meets NABH Hospitals 6th Edition standard ROM.3: Those responsible for governance ensure sustainability in hospitals by addressing environmental, social and economic factors from long term well-being of healthcare system and community.</w:t>
      </w:r>
    </w:p>
    <w:p>
      <w:pPr>
        <w:spacing w:after="140"/>
      </w:pPr>
      <w:r>
        <w:rPr>
          <w:sz w:val="22"/>
          <w:szCs w:val="22"/>
        </w:rPr>
        <w:t xml:space="preserve">It covers objective elements ROM.3.a–g (7 elements).</w:t>
      </w:r>
    </w:p>
    <w:p>
      <w:pPr>
        <w:spacing w:after="140"/>
      </w:pPr>
      <w:r>
        <w:rPr>
          <w:sz w:val="22"/>
          <w:szCs w:val="22"/>
        </w:rPr>
        <w:t xml:space="preserve">Chapter intent (official Standards PDF): The management of the healthcare organisation is aware of and manages all the key components of governance. Those responsible for governance are identified and their roles defined. The standards encourage the governance of the organisation professionally and ethically. Clinical governance framework is established, that includes clinical audits, clinical pathways, education and research. The responsibilities of management are defined. The responsibilities of the leaders at all levels are defined. The management executes its responsibility for compliance with all applicable regulations. Those responsible for governance address the organisations social responsibility. Leaders ensure that patient-safety and risk-management issues are an integral part of patient care and hospital management. The Organisation has a written guidance in place for change management and service continuity plan.</w:t>
      </w:r>
    </w:p>
    <w:p>
      <w:pPr>
        <w:spacing w:after="140"/>
      </w:pPr>
      <w:r>
        <w:rPr>
          <w:sz w:val="22"/>
          <w:szCs w:val="22"/>
        </w:rPr>
        <w:t xml:space="preserve">This policy owns ROM.3. Related AAC, COP, MOM, PRE, IPC and PSQ duties stay with those policies — cross-reference only. Other ROM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those responsible for governance, the person heading the organisation, departmental leaders, and staff who run ethics, sustainability, risk or outsourcing at «Hospital Name», including the «Medical Superintendent», «those responsible for governance» as identified under ROM.1, departmental leaders and the Quality Coordinator.</w:t>
      </w:r>
    </w:p>
    <w:p>
      <w:pPr>
        <w:spacing w:after="140"/>
      </w:pPr>
      <w:r>
        <w:rPr>
          <w:sz w:val="22"/>
          <w:szCs w:val="22"/>
        </w:rPr>
        <w:t xml:space="preserve">It covers 7 objective elements (ROM.3.a, ROM.3.b, ROM.3.c, ROM.3.d, ROM.3.e, ROM.3.f, ROM.3.g).</w:t>
      </w:r>
    </w:p>
    <w:p>
      <w:pPr>
        <w:spacing w:after="140"/>
      </w:pPr>
      <w:r>
        <w:rPr>
          <w:sz w:val="22"/>
          <w:szCs w:val="22"/>
        </w:rPr>
        <w:t xml:space="preserve">Boundaries: do not overwrite HCO AAC, COP, MOM, PRE, IPC or PSQ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«Hospital Name» implements ROM.3 so that those responsible for governance ensure sustainability in hospitals by addressing environmental, social and economic factors from long term well-being of healthcare system and community.</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Those responsible for governance address the organisation’s sustainability programme in terms of Environment...</w:t>
      </w:r>
    </w:p>
    <w:p>
      <w:pPr>
        <w:spacing w:after="80"/>
      </w:pPr>
      <w:r>
        <w:rPr>
          <w:sz w:val="22"/>
          <w:szCs w:val="22"/>
        </w:rPr>
        <w:t xml:space="preserve">2. Do not skip: The organisation takes initiatives towards an energy-efficient and environmentally friendly hospital.</w:t>
      </w:r>
    </w:p>
    <w:p>
      <w:pPr>
        <w:spacing w:after="80"/>
      </w:pPr>
      <w:r>
        <w:rPr>
          <w:sz w:val="22"/>
          <w:szCs w:val="22"/>
        </w:rPr>
        <w:t xml:space="preserve">3. Do not skip: Those responsible for governance address the organisations social responsibility.</w:t>
      </w:r>
    </w:p>
    <w:p>
      <w:pPr>
        <w:spacing w:after="80"/>
      </w:pPr>
      <w:r>
        <w:rPr>
          <w:sz w:val="22"/>
          <w:szCs w:val="22"/>
        </w:rPr>
        <w:t xml:space="preserve">4. Do not skip: Staff well-being is promoted.</w:t>
      </w:r>
    </w:p>
    <w:p>
      <w:pPr>
        <w:spacing w:after="80"/>
      </w:pPr>
      <w:r>
        <w:rPr>
          <w:sz w:val="22"/>
          <w:szCs w:val="22"/>
        </w:rPr>
        <w:t xml:space="preserve">5. Do not skip: The organisation follows sustainable procurement practices.</w:t>
      </w:r>
    </w:p>
    <w:p>
      <w:pPr>
        <w:spacing w:after="80"/>
      </w:pPr>
      <w:r>
        <w:rPr>
          <w:sz w:val="22"/>
          <w:szCs w:val="22"/>
        </w:rPr>
        <w:t xml:space="preserve">6. Do not skip: Hospitals shall encourage employees to use common / public transportation to reduce the environmental impact...</w:t>
      </w:r>
    </w:p>
    <w:p>
      <w:pPr>
        <w:spacing w:after="80"/>
      </w:pPr>
      <w:r>
        <w:rPr>
          <w:sz w:val="22"/>
          <w:szCs w:val="22"/>
        </w:rPr>
        <w:t xml:space="preserve">7. Do not skip: The organisation ensures financial sustainability of the hospital by balancing the financial aspects of...</w:t>
      </w:r>
    </w:p>
    <w:p>
      <w:pPr>
        <w:spacing w:after="80"/>
      </w:pPr>
      <w:r>
        <w:rPr>
          <w:sz w:val="22"/>
          <w:szCs w:val="22"/>
        </w:rPr>
        <w:t xml:space="preserve">8. Staff who see a ROM.3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Those responsible for governance address the organisation’s...</w:t>
      </w:r>
    </w:p>
    <w:p>
      <w:pPr>
        <w:spacing w:after="140"/>
      </w:pPr>
      <w:r>
        <w:rPr>
          <w:sz w:val="22"/>
          <w:szCs w:val="22"/>
        </w:rPr>
        <w:t xml:space="preserve">«those responsible for governance» address the organisation's sustainability programme in Environment, Social and Governance (ESG) terms: a written programme, named owner and a review at least «annually».</w:t>
      </w:r>
    </w:p>
    <w:p>
      <w:pPr>
        <w:spacing w:after="140"/>
      </w:pPr>
      <w:r>
        <w:rPr>
          <w:sz w:val="22"/>
          <w:szCs w:val="22"/>
        </w:rPr>
        <w:t xml:space="preserve">The «Medical Superintendent» tables the programme at a governance meeting. A slogan without a programme is not this element.</w:t>
      </w:r>
    </w:p>
    <w:p>
      <w:pPr>
        <w:spacing w:after="140"/>
      </w:pPr>
      <w:r>
        <w:rPr>
          <w:sz w:val="22"/>
          <w:szCs w:val="22"/>
        </w:rPr>
        <w:t xml:space="preserve">Method note (from guidebook interpretation): Environmental sustainability includes energy usage and efficiency, climate change strategy, waste reduction, biodiversity loss, greenhouse gas emissions and carbon footprint reduction. Social sustainability includes fair pay and living wages, equal employment opportunity, employee benefits, workplace health and safety, community engagement, responsible supply chain partnerships, adhering to labour laws. Governance sustainability includes corporate governance, risk management, compliance, ethical business practises, avoiding conflicts of interest, accounting integrity and transparency.</w:t>
      </w:r>
    </w:p>
    <w:p>
      <w:pPr>
        <w:pStyle w:val="Heading2"/>
        <w:spacing w:after="100" w:before="220"/>
      </w:pPr>
      <w:r>
        <w:t xml:space="preserve">5.2 The organisation takes initiatives towards an energy-efficient and...</w:t>
      </w:r>
    </w:p>
    <w:p>
      <w:pPr>
        <w:spacing w:after="140"/>
      </w:pPr>
      <w:r>
        <w:rPr>
          <w:sz w:val="22"/>
          <w:szCs w:val="22"/>
        </w:rPr>
        <w:t xml:space="preserve">The organisation takes documented initiatives toward an energy-efficient and environmentally friendly hospital (energy, water, waste-to-environment as FMS owns the engineering controls).</w:t>
      </w:r>
    </w:p>
    <w:p>
      <w:pPr>
        <w:spacing w:after="140"/>
      </w:pPr>
      <w:r>
        <w:rPr>
          <w:sz w:val="22"/>
          <w:szCs w:val="22"/>
        </w:rPr>
        <w:t xml:space="preserve">Actions, dates and results sit in the ESG / engineering file. This is an asterisked element. FMS remains the home of facility safety; this element is the sustainability initiative.</w:t>
      </w:r>
    </w:p>
    <w:p>
      <w:pPr>
        <w:spacing w:after="140"/>
      </w:pPr>
      <w:r>
        <w:rPr>
          <w:sz w:val="22"/>
          <w:szCs w:val="22"/>
        </w:rPr>
        <w:t xml:space="preserve">Method note (from guidebook interpretation): This includes using the concepts of reduce, recycle and reuse in promoting the basic concepts of the green hospital. Energy-efficient lighting, rainwater harvesting, increase usage of solar power, wind energy, use of battery- operated or e-vehicles, recycling of STP/ETP water for gardening and flush water, reduction of plastic usage where possible, use of ‘green’ materials in construction, use of volatile organic compounds free paints are some of the examples. The organisation shall focus on efficient and sustainable use of energy, water and other utilities. The organisation shall take measures to create awareness among staff and patients regarding saving electricity and water.</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5.3 Those responsible for governance address the organisations social...</w:t>
      </w:r>
    </w:p>
    <w:p>
      <w:pPr>
        <w:spacing w:after="140"/>
      </w:pPr>
      <w:r>
        <w:rPr>
          <w:sz w:val="22"/>
          <w:szCs w:val="22"/>
        </w:rPr>
        <w:t xml:space="preserve">«those responsible for governance» address the organisation's social responsibility (community access, charity care, local health initiatives as the hospital defines).</w:t>
      </w:r>
    </w:p>
    <w:p>
      <w:pPr>
        <w:spacing w:after="140"/>
      </w:pPr>
      <w:r>
        <w:rPr>
          <w:sz w:val="22"/>
          <w:szCs w:val="22"/>
        </w:rPr>
        <w:t xml:space="preserve">The programme and any annual report of activity are minuted. Intent wording "organisations social responsibility" is kept as printed in the Standards PDF.</w:t>
      </w:r>
    </w:p>
    <w:p>
      <w:pPr>
        <w:spacing w:after="140"/>
      </w:pPr>
      <w:r>
        <w:rPr>
          <w:sz w:val="22"/>
          <w:szCs w:val="22"/>
        </w:rPr>
        <w:t xml:space="preserve">Method note (from guidebook interpretation): The board of governance and leaders shall develop social responsibility policy and implement it. Free camps, outreach programs for below poverty line population are some of the examples. At a minimum all regulatory requirement like corporate social responsibility shall be met.</w:t>
      </w:r>
    </w:p>
    <w:p>
      <w:pPr>
        <w:pStyle w:val="Heading2"/>
        <w:spacing w:after="100" w:before="220"/>
      </w:pPr>
      <w:r>
        <w:t xml:space="preserve">5.4 Staff well-being is promoted</w:t>
      </w:r>
    </w:p>
    <w:p>
      <w:pPr>
        <w:spacing w:after="140"/>
      </w:pPr>
      <w:r>
        <w:rPr>
          <w:sz w:val="22"/>
          <w:szCs w:val="22"/>
        </w:rPr>
        <w:t xml:space="preserve">Staff well-being is promoted: defined work-hour monitoring, healthy-lifestyle support, scheduled breaks and a way to raise workload concern — as the organisation writes.</w:t>
      </w:r>
    </w:p>
    <w:p>
      <w:pPr>
        <w:spacing w:after="140"/>
      </w:pPr>
      <w:r>
        <w:rPr>
          <w:sz w:val="22"/>
          <w:szCs w:val="22"/>
        </w:rPr>
        <w:t xml:space="preserve">HR and the «Medical Superintendent» hold the current measures. A poster without a working arrangement is not this element.</w:t>
      </w:r>
    </w:p>
    <w:p>
      <w:pPr>
        <w:spacing w:after="140"/>
      </w:pPr>
      <w:r>
        <w:rPr>
          <w:sz w:val="22"/>
          <w:szCs w:val="22"/>
        </w:rPr>
        <w:t xml:space="preserve">Method note (from guidebook interpretation): Organisation takes proactive steps to ensure staff well-being. Examples of these include promoting healthy lifestyle programmes, having defined work hours and workload monitoring, providing scheduled breaks, stress management, access to dining facilities, rewards and recognition, staff engagement activities. Tracking absenteeism or over-time could help organisations to monitor stress and fatigue indirectly. The staff satisfaction survey is another tool to capture this data. The organisation shall have facilities for staff to seek support and advice when necessary.</w:t>
      </w:r>
    </w:p>
    <w:p>
      <w:pPr>
        <w:pStyle w:val="Heading2"/>
        <w:spacing w:after="100" w:before="220"/>
      </w:pPr>
      <w:r>
        <w:t xml:space="preserve">5.5 The organisation follows sustainable procurement practices</w:t>
      </w:r>
    </w:p>
    <w:p>
      <w:pPr>
        <w:spacing w:after="140"/>
      </w:pPr>
      <w:r>
        <w:rPr>
          <w:sz w:val="22"/>
          <w:szCs w:val="22"/>
        </w:rPr>
        <w:t xml:space="preserve">The organisation follows sustainable procurement practices (environmental and social criteria in selected tenders, as the purchase policy names).</w:t>
      </w:r>
    </w:p>
    <w:p>
      <w:pPr>
        <w:spacing w:after="140"/>
      </w:pPr>
      <w:r>
        <w:rPr>
          <w:sz w:val="22"/>
          <w:szCs w:val="22"/>
        </w:rPr>
        <w:t xml:space="preserve">Purchase files show those criteria were applied. This Excellence element is evidenced by completed procurements, not by a policy sentence alone.</w:t>
      </w:r>
    </w:p>
    <w:p>
      <w:pPr>
        <w:spacing w:after="140"/>
      </w:pPr>
      <w:r>
        <w:rPr>
          <w:sz w:val="22"/>
          <w:szCs w:val="22"/>
        </w:rPr>
        <w:t xml:space="preserve">Method note (from guidebook interpretation): These involve sourcing products and services that have a lower environmental impact. Hospitals can work with suppliers to prioritize environmentally friendly and socially responsible products.</w:t>
      </w:r>
    </w:p>
    <w:p>
      <w:pPr>
        <w:pStyle w:val="Heading2"/>
        <w:spacing w:after="100" w:before="220"/>
      </w:pPr>
      <w:r>
        <w:t xml:space="preserve">5.6 Hospitals shall encourage employees to use common / public...</w:t>
      </w:r>
    </w:p>
    <w:p>
      <w:pPr>
        <w:spacing w:after="140"/>
      </w:pPr>
      <w:r>
        <w:rPr>
          <w:sz w:val="22"/>
          <w:szCs w:val="22"/>
        </w:rPr>
        <w:t xml:space="preserve">The hospital encourages employees to use common / public transport to reduce commuting impact (information, any incentive the organisation defines, and a record that it was offered).</w:t>
      </w:r>
    </w:p>
    <w:p>
      <w:pPr>
        <w:spacing w:after="140"/>
      </w:pPr>
      <w:r>
        <w:rPr>
          <w:sz w:val="22"/>
          <w:szCs w:val="22"/>
        </w:rPr>
        <w:t xml:space="preserve">HR keeps the current offer. This Achievement element is encouragement, not a mandate that every staff member commute that way.</w:t>
      </w:r>
    </w:p>
    <w:p>
      <w:pPr>
        <w:spacing w:after="140"/>
      </w:pPr>
      <w:r>
        <w:rPr>
          <w:sz w:val="22"/>
          <w:szCs w:val="22"/>
        </w:rPr>
        <w:t xml:space="preserve">Method note (from guidebook interpretation): Hospital shall encourage employees for carpooling, cycling and wherever possible use of public transport to reduce environmental impact. Efficient environmental friendly logistics and transportation management within the hospital can also contribute to sustainability.</w:t>
      </w:r>
    </w:p>
    <w:p>
      <w:pPr>
        <w:pStyle w:val="Heading2"/>
        <w:spacing w:after="100" w:before="220"/>
      </w:pPr>
      <w:r>
        <w:t xml:space="preserve">5.7 The organisation ensures financial sustainability of the hospital by...</w:t>
      </w:r>
    </w:p>
    <w:p>
      <w:pPr>
        <w:spacing w:after="140"/>
      </w:pPr>
      <w:r>
        <w:rPr>
          <w:sz w:val="22"/>
          <w:szCs w:val="22"/>
        </w:rPr>
        <w:t xml:space="preserve">The organisation ensures financial sustainability by balancing the financial aspects of healthcare delivery: budget vs actual, cash and credit discipline, and a «annually» view that services can continue.</w:t>
      </w:r>
    </w:p>
    <w:p>
      <w:pPr>
        <w:spacing w:after="140"/>
      </w:pPr>
      <w:r>
        <w:rPr>
          <w:sz w:val="22"/>
          <w:szCs w:val="22"/>
        </w:rPr>
        <w:t xml:space="preserve">The «Medical Superintendent» and accounts table this to «those responsible for governance». A budget without a review is incomplete under this Achievement element.</w:t>
      </w:r>
    </w:p>
    <w:p>
      <w:pPr>
        <w:spacing w:after="140"/>
      </w:pPr>
      <w:r>
        <w:rPr>
          <w:sz w:val="22"/>
          <w:szCs w:val="22"/>
        </w:rPr>
        <w:t xml:space="preserve">Method note (from guidebook interpretation): Balancing the financial aspects of healthcare delivery is crucial for long-term sustainability. This involves efficient resource allocation, cost management, and revenue generation strategies.</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ROM.3 is resourced and followed.</w:t>
      </w:r>
    </w:p>
    <w:p>
      <w:pPr>
        <w:pStyle w:val="ListParagraph"/>
        <w:numPr>
          <w:ilvl w:val="0"/>
          <w:numId w:val="1"/>
        </w:numPr>
        <w:spacing w:after="60"/>
      </w:pPr>
      <w:r>
        <w:rPr>
          <w:sz w:val="22"/>
          <w:szCs w:val="22"/>
        </w:rPr>
        <w:t xml:space="preserve">Acts as the person heading the organisation unless «those responsible for governance» have appointed another leader.</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those responsible for governance</w:t>
      </w:r>
    </w:p>
    <w:p>
      <w:pPr>
        <w:pStyle w:val="ListParagraph"/>
        <w:numPr>
          <w:ilvl w:val="0"/>
          <w:numId w:val="1"/>
        </w:numPr>
        <w:spacing w:after="60"/>
      </w:pPr>
      <w:r>
        <w:rPr>
          <w:sz w:val="22"/>
          <w:szCs w:val="22"/>
        </w:rPr>
        <w:t xml:space="preserve">Hold the duties ROM.1 assigns to the governing entity.</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 supports dashboards and committee reviews as this standard requires.</w:t>
      </w:r>
    </w:p>
    <w:p>
      <w:pPr>
        <w:spacing w:after="20" w:before="100"/>
      </w:pPr>
      <w:r>
        <w:rPr>
          <w:b/>
          <w:bCs/>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governance change, statutory-register gap or outsourced-service failure.</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Sustainability, Social Responsibility and Staff Well-being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Responsibilities of Management, standard ROM.3.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ROM.3 interpretations (source PDF md5 2c4489ee98de4ae9b49cba168ea9f42a; OCR policies/source/hco6_rom_guidebook_ocr.txt).</w:t>
      </w:r>
    </w:p>
    <w:p>
      <w:pPr>
        <w:pStyle w:val="ListParagraph"/>
        <w:numPr>
          <w:ilvl w:val="0"/>
          <w:numId w:val="1"/>
        </w:numPr>
        <w:spacing w:after="60"/>
      </w:pPr>
      <w:r>
        <w:rPr>
          <w:sz w:val="22"/>
          <w:szCs w:val="22"/>
        </w:rPr>
        <w:t xml:space="preserve">Internal documents of «Hospital Name»: governance role document, ethical-management framework, ESG / social-responsibility programme, applicable-legislation register, risk-management plan, outsourcing agreements named for ROM.3.</w:t>
      </w:r>
    </w:p>
    <w:p>
      <w:pPr>
        <w:pStyle w:val="Heading1"/>
        <w:spacing w:after="120" w:before="280"/>
      </w:pPr>
      <w:r>
        <w:t xml:space="preserve">10. Distribution</w:t>
      </w:r>
    </w:p>
    <w:p>
      <w:pPr>
        <w:spacing w:after="140"/>
      </w:pPr>
      <w:r>
        <w:rPr>
          <w:sz w:val="22"/>
          <w:szCs w:val="22"/>
        </w:rPr>
        <w:t xml:space="preserve">Medical Superintendent; those responsible for governance; Quality Coordinator; departmental leaders; staff covered by ROM.3</w:t>
      </w:r>
    </w:p>
    <w:p>
      <w:pPr>
        <w:pStyle w:val="Heading1"/>
        <w:spacing w:after="120" w:before="280"/>
      </w:pPr>
      <w:r>
        <w:t xml:space="preserve">11. Abbreviations</w:t>
      </w:r>
    </w:p>
    <w:p>
      <w:pPr>
        <w:spacing w:after="140"/>
      </w:pPr>
      <w:r>
        <w:rPr>
          <w:sz w:val="22"/>
          <w:szCs w:val="22"/>
        </w:rPr>
        <w:t xml:space="preserve">AERB — Atomic Energy Regulatory Board
CAPA — Corrective and Preventive Action
CORE — Core objective element (NABH)
ESG — Environment, Social and Governance
HCO — Hospital (Full Accreditation programme under NABH Hospitals 6th Edition)
NABH — National Accreditation Board for Hospitals and Healthcare Providers
OE — Objective Element
ROM — Responsibilities of Management (NABH Hospitals 6th Edition chapter)
SWOT — Strengths, Weaknesses, Opportunities and Threats</w:t>
      </w:r>
    </w:p>
    <w:p>
      <w:pPr>
        <w:pStyle w:val="Heading1"/>
        <w:spacing w:after="120" w:before="280"/>
      </w:pPr>
      <w:r>
        <w:t xml:space="preserve">12. Traceability to NABH HCO Full Accreditation 6th Edition ROM.3</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Those responsible for governance address the organisation’s sustainability programme in terms of Environment Social and Governance (ESG) responsibility.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takes initiatives towards an energy-efficient and environmentally friendly hospital.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Those responsible for governance address the organisations social responsibility.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well-being is promoted.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ROM.3.e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follows sustainable procurement practices.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ROM.3.f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Hospitals shall encourage employees to use common / public transportation to reduce the environmental impact of commuting and carbon footprint.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ROM.3.g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ensures financial sustainability of the hospital by balancing the financial aspects of healthcare delivery.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ROM.3.a — Those responsible for governance address the organisation’s sustainability programme in terms of Environment Social and Governance (ESG) responsibility.</w:t>
      </w:r>
    </w:p>
    <w:p>
      <w:pPr>
        <w:pStyle w:val="ListParagraph"/>
        <w:numPr>
          <w:ilvl w:val="0"/>
          <w:numId w:val="1"/>
        </w:numPr>
        <w:spacing w:after="60"/>
      </w:pPr>
      <w:r>
        <w:rPr>
          <w:sz w:val="22"/>
          <w:szCs w:val="22"/>
        </w:rPr>
        <w:t xml:space="preserve">Written ESG (Environment, Social and Governance) sustainability programme with a named owner.</w:t>
      </w:r>
    </w:p>
    <w:p>
      <w:pPr>
        <w:pStyle w:val="ListParagraph"/>
        <w:numPr>
          <w:ilvl w:val="0"/>
          <w:numId w:val="1"/>
        </w:numPr>
        <w:spacing w:after="60"/>
      </w:pPr>
      <w:r>
        <w:rPr>
          <w:sz w:val="22"/>
          <w:szCs w:val="22"/>
        </w:rPr>
        <w:t xml:space="preserve">Governance-meeting agenda or minutes tabling the programme.</w:t>
      </w:r>
    </w:p>
    <w:p>
      <w:pPr>
        <w:pStyle w:val="ListParagraph"/>
        <w:numPr>
          <w:ilvl w:val="0"/>
          <w:numId w:val="1"/>
        </w:numPr>
        <w:spacing w:after="60"/>
      </w:pPr>
      <w:r>
        <w:rPr>
          <w:sz w:val="22"/>
          <w:szCs w:val="22"/>
        </w:rPr>
        <w:t xml:space="preserve">Annual review record of the programme.</w:t>
      </w:r>
    </w:p>
    <w:p>
      <w:pPr>
        <w:pStyle w:val="Heading2"/>
        <w:spacing w:after="100" w:before="220"/>
      </w:pPr>
      <w:r>
        <w:t xml:space="preserve">ROM.3.b — The organisation takes initiatives towards an energy-efficient and environmentally friendly hospital.</w:t>
      </w:r>
    </w:p>
    <w:p>
      <w:pPr>
        <w:pStyle w:val="ListParagraph"/>
        <w:numPr>
          <w:ilvl w:val="0"/>
          <w:numId w:val="1"/>
        </w:numPr>
        <w:spacing w:after="60"/>
      </w:pPr>
      <w:r>
        <w:rPr>
          <w:sz w:val="22"/>
          <w:szCs w:val="22"/>
        </w:rPr>
        <w:t xml:space="preserve">Dated log of energy-efficiency and environmental initiatives and their results.</w:t>
      </w:r>
    </w:p>
    <w:p>
      <w:pPr>
        <w:pStyle w:val="ListParagraph"/>
        <w:numPr>
          <w:ilvl w:val="0"/>
          <w:numId w:val="1"/>
        </w:numPr>
        <w:spacing w:after="60"/>
      </w:pPr>
      <w:r>
        <w:rPr>
          <w:sz w:val="22"/>
          <w:szCs w:val="22"/>
        </w:rPr>
        <w:t xml:space="preserve">Cross-reference to the ESG/engineering file (FMS owns the engineering controls; this is the initiative record).</w:t>
      </w:r>
    </w:p>
    <w:p>
      <w:pPr>
        <w:pStyle w:val="ListParagraph"/>
        <w:numPr>
          <w:ilvl w:val="0"/>
          <w:numId w:val="1"/>
        </w:numPr>
        <w:spacing w:after="60"/>
      </w:pPr>
      <w:r>
        <w:rPr>
          <w:sz w:val="22"/>
          <w:szCs w:val="22"/>
        </w:rPr>
        <w:t xml:space="preserve">Before/after data or savings evidence where available.</w:t>
      </w:r>
    </w:p>
    <w:p>
      <w:pPr>
        <w:pStyle w:val="Heading2"/>
        <w:spacing w:after="100" w:before="220"/>
      </w:pPr>
      <w:r>
        <w:t xml:space="preserve">ROM.3.c — Those responsible for governance address the organisations social responsibility.</w:t>
      </w:r>
    </w:p>
    <w:p>
      <w:pPr>
        <w:pStyle w:val="ListParagraph"/>
        <w:numPr>
          <w:ilvl w:val="0"/>
          <w:numId w:val="1"/>
        </w:numPr>
        <w:spacing w:after="60"/>
      </w:pPr>
      <w:r>
        <w:rPr>
          <w:sz w:val="22"/>
          <w:szCs w:val="22"/>
        </w:rPr>
        <w:t xml:space="preserve">Documented social-responsibility programme (community access, charity care, local health initiatives).</w:t>
      </w:r>
    </w:p>
    <w:p>
      <w:pPr>
        <w:pStyle w:val="ListParagraph"/>
        <w:numPr>
          <w:ilvl w:val="0"/>
          <w:numId w:val="1"/>
        </w:numPr>
        <w:spacing w:after="60"/>
      </w:pPr>
      <w:r>
        <w:rPr>
          <w:sz w:val="22"/>
          <w:szCs w:val="22"/>
        </w:rPr>
        <w:t xml:space="preserve">Annual activity report for the programme.</w:t>
      </w:r>
    </w:p>
    <w:p>
      <w:pPr>
        <w:pStyle w:val="ListParagraph"/>
        <w:numPr>
          <w:ilvl w:val="0"/>
          <w:numId w:val="1"/>
        </w:numPr>
        <w:spacing w:after="60"/>
      </w:pPr>
      <w:r>
        <w:rPr>
          <w:sz w:val="22"/>
          <w:szCs w:val="22"/>
        </w:rPr>
        <w:t xml:space="preserve">Governance minutes noting the programme.</w:t>
      </w:r>
    </w:p>
    <w:p>
      <w:pPr>
        <w:pStyle w:val="Heading2"/>
        <w:spacing w:after="100" w:before="220"/>
      </w:pPr>
      <w:r>
        <w:t xml:space="preserve">ROM.3.d — Staff well-being is promoted.</w:t>
      </w:r>
    </w:p>
    <w:p>
      <w:pPr>
        <w:pStyle w:val="ListParagraph"/>
        <w:numPr>
          <w:ilvl w:val="0"/>
          <w:numId w:val="1"/>
        </w:numPr>
        <w:spacing w:after="60"/>
      </w:pPr>
      <w:r>
        <w:rPr>
          <w:sz w:val="22"/>
          <w:szCs w:val="22"/>
        </w:rPr>
        <w:t xml:space="preserve">Documented work-hour monitoring method for staff.</w:t>
      </w:r>
    </w:p>
    <w:p>
      <w:pPr>
        <w:pStyle w:val="ListParagraph"/>
        <w:numPr>
          <w:ilvl w:val="0"/>
          <w:numId w:val="1"/>
        </w:numPr>
        <w:spacing w:after="60"/>
      </w:pPr>
      <w:r>
        <w:rPr>
          <w:sz w:val="22"/>
          <w:szCs w:val="22"/>
        </w:rPr>
        <w:t xml:space="preserve">Record of healthy-lifestyle support and scheduled-break arrangements.</w:t>
      </w:r>
    </w:p>
    <w:p>
      <w:pPr>
        <w:pStyle w:val="ListParagraph"/>
        <w:numPr>
          <w:ilvl w:val="0"/>
          <w:numId w:val="1"/>
        </w:numPr>
        <w:spacing w:after="60"/>
      </w:pPr>
      <w:r>
        <w:rPr>
          <w:sz w:val="22"/>
          <w:szCs w:val="22"/>
        </w:rPr>
        <w:t xml:space="preserve">Record of the channel for raising workload concerns and any concerns logged through it.</w:t>
      </w:r>
    </w:p>
    <w:p>
      <w:pPr>
        <w:pStyle w:val="Heading2"/>
        <w:spacing w:after="100" w:before="220"/>
      </w:pPr>
      <w:r>
        <w:t xml:space="preserve">ROM.3.e — The organisation follows sustainable procurement practices.</w:t>
      </w:r>
    </w:p>
    <w:p>
      <w:pPr>
        <w:pStyle w:val="ListParagraph"/>
        <w:numPr>
          <w:ilvl w:val="0"/>
          <w:numId w:val="1"/>
        </w:numPr>
        <w:spacing w:after="60"/>
      </w:pPr>
      <w:r>
        <w:rPr>
          <w:sz w:val="22"/>
          <w:szCs w:val="22"/>
        </w:rPr>
        <w:t xml:space="preserve">Purchase policy naming environmental and social tender criteria.</w:t>
      </w:r>
    </w:p>
    <w:p>
      <w:pPr>
        <w:pStyle w:val="ListParagraph"/>
        <w:numPr>
          <w:ilvl w:val="0"/>
          <w:numId w:val="1"/>
        </w:numPr>
        <w:spacing w:after="60"/>
      </w:pPr>
      <w:r>
        <w:rPr>
          <w:sz w:val="22"/>
          <w:szCs w:val="22"/>
        </w:rPr>
        <w:t xml:space="preserve">Completed procurement file showing those criteria were applied.</w:t>
      </w:r>
    </w:p>
    <w:p>
      <w:pPr>
        <w:pStyle w:val="ListParagraph"/>
        <w:numPr>
          <w:ilvl w:val="0"/>
          <w:numId w:val="1"/>
        </w:numPr>
        <w:spacing w:after="60"/>
      </w:pPr>
      <w:r>
        <w:rPr>
          <w:sz w:val="22"/>
          <w:szCs w:val="22"/>
        </w:rPr>
        <w:t xml:space="preserve">At least one tender evaluation reflecting the sustainable-procurement criteria.</w:t>
      </w:r>
    </w:p>
    <w:p>
      <w:pPr>
        <w:pStyle w:val="Heading2"/>
        <w:spacing w:after="100" w:before="220"/>
      </w:pPr>
      <w:r>
        <w:t xml:space="preserve">ROM.3.f — Hospitals shall encourage employees to use common / public transportation to reduce the environmental impact of commuting and carbon footprint.</w:t>
      </w:r>
    </w:p>
    <w:p>
      <w:pPr>
        <w:pStyle w:val="ListParagraph"/>
        <w:numPr>
          <w:ilvl w:val="0"/>
          <w:numId w:val="1"/>
        </w:numPr>
        <w:spacing w:after="60"/>
      </w:pPr>
      <w:r>
        <w:rPr>
          <w:sz w:val="22"/>
          <w:szCs w:val="22"/>
        </w:rPr>
        <w:t xml:space="preserve">Current staff communication promoting common or public transport for commuting.</w:t>
      </w:r>
    </w:p>
    <w:p>
      <w:pPr>
        <w:pStyle w:val="ListParagraph"/>
        <w:numPr>
          <w:ilvl w:val="0"/>
          <w:numId w:val="1"/>
        </w:numPr>
        <w:spacing w:after="60"/>
      </w:pPr>
      <w:r>
        <w:rPr>
          <w:sz w:val="22"/>
          <w:szCs w:val="22"/>
        </w:rPr>
        <w:t xml:space="preserve">Documentation of any incentive scheme offered.</w:t>
      </w:r>
    </w:p>
    <w:p>
      <w:pPr>
        <w:pStyle w:val="ListParagraph"/>
        <w:numPr>
          <w:ilvl w:val="0"/>
          <w:numId w:val="1"/>
        </w:numPr>
        <w:spacing w:after="60"/>
      </w:pPr>
      <w:r>
        <w:rPr>
          <w:sz w:val="22"/>
          <w:szCs w:val="22"/>
        </w:rPr>
        <w:t xml:space="preserve">Record that the offer was communicated to staff (not that every staff member complied).</w:t>
      </w:r>
    </w:p>
    <w:p>
      <w:pPr>
        <w:pStyle w:val="Heading2"/>
        <w:spacing w:after="100" w:before="220"/>
      </w:pPr>
      <w:r>
        <w:t xml:space="preserve">ROM.3.g — The organisation ensures financial sustainability of the hospital by balancing the financial aspects of healthcare delivery.</w:t>
      </w:r>
    </w:p>
    <w:p>
      <w:pPr>
        <w:pStyle w:val="ListParagraph"/>
        <w:numPr>
          <w:ilvl w:val="0"/>
          <w:numId w:val="1"/>
        </w:numPr>
        <w:spacing w:after="60"/>
      </w:pPr>
      <w:r>
        <w:rPr>
          <w:sz w:val="22"/>
          <w:szCs w:val="22"/>
        </w:rPr>
        <w:t xml:space="preserve">Budget-versus-actual review document.</w:t>
      </w:r>
    </w:p>
    <w:p>
      <w:pPr>
        <w:pStyle w:val="ListParagraph"/>
        <w:numPr>
          <w:ilvl w:val="0"/>
          <w:numId w:val="1"/>
        </w:numPr>
        <w:spacing w:after="60"/>
      </w:pPr>
      <w:r>
        <w:rPr>
          <w:sz w:val="22"/>
          <w:szCs w:val="22"/>
        </w:rPr>
        <w:t xml:space="preserve">Record of cash and credit discipline for the period.</w:t>
      </w:r>
    </w:p>
    <w:p>
      <w:pPr>
        <w:pStyle w:val="ListParagraph"/>
        <w:numPr>
          <w:ilvl w:val="0"/>
          <w:numId w:val="1"/>
        </w:numPr>
        <w:spacing w:after="60"/>
      </w:pPr>
      <w:r>
        <w:rPr>
          <w:sz w:val="22"/>
          <w:szCs w:val="22"/>
        </w:rPr>
        <w:t xml:space="preserve">Annual financial-sustainability view tabled to governance.</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«HCO/ROM/POL/03»  |  Controlled document  |  Sustainability, Social Responsibility and Staff Well-being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2026-08-21T11:03:27.114Z</dcterms:created>
  <dcterms:modified xsi:type="dcterms:W3CDTF">2026-08-21T11:03:27.115Z</dcterms:modified>
</cp:coreProperties>
</file>

<file path=docProps/custom.xml><?xml version="1.0" encoding="utf-8"?>
<Properties xmlns="http://schemas.openxmlformats.org/officeDocument/2006/custom-properties" xmlns:vt="http://schemas.openxmlformats.org/officeDocument/2006/docPropsVTypes"/>
</file>