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MOM.3: Medications are stored appropriately and are available where required.</w:t>
      </w:r>
    </w:p>
    <w:p>
      <w:pPr>
        <w:spacing w:after="140"/>
      </w:pPr>
      <w:r>
        <w:rPr>
          <w:sz w:val="22"/>
          <w:szCs w:val="22"/>
        </w:rPr>
        <w:t xml:space="preserve">It covers objective elements MOM.3.a–g (7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MOM.3.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7 objective elements (MOM.3.a, MOM.3.b, MOM.3.c, MOM.3.d, MOM.3.e, MOM.3.f, MOM.3.g).</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same...</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w:t>
      </w:r>
    </w:p>
    <w:p>
      <w:pPr>
        <w:spacing w:after="140"/>
      </w:pPr>
      <w:r>
        <w:rPr>
          <w:sz w:val="22"/>
          <w:szCs w:val="22"/>
        </w:rPr>
        <w:t xml:space="preserve">Inventory control at Preview Hospital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it...</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and...</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Preview Hospital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Storage-condition record (temperature, light, humidity) against manufacturer recommendation.</w:t>
      </w:r>
    </w:p>
    <w:p>
      <w:pPr>
        <w:pStyle w:val="ListParagraph"/>
        <w:numPr>
          <w:ilvl w:val="0"/>
          <w:numId w:val="1"/>
        </w:numPr>
        <w:spacing w:after="60"/>
      </w:pPr>
      <w:r>
        <w:rPr>
          <w:sz w:val="22"/>
          <w:szCs w:val="22"/>
        </w:rPr>
        <w:t xml:space="preserve">Twice-daily refrigerator-temperature log with excursion-reporting record.</w:t>
      </w:r>
    </w:p>
    <w:p>
      <w:pPr>
        <w:pStyle w:val="ListParagraph"/>
        <w:numPr>
          <w:ilvl w:val="0"/>
          <w:numId w:val="1"/>
        </w:numPr>
        <w:spacing w:after="60"/>
      </w:pPr>
      <w:r>
        <w:rPr>
          <w:sz w:val="22"/>
          <w:szCs w:val="22"/>
        </w:rPr>
        <w:t xml:space="preserve">Access-control record for the main pharmacy and controlled-drug cupboards.</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Documented inventory-control method — FEFO, maximum/minimum levels, indent cycle.</w:t>
      </w:r>
    </w:p>
    <w:p>
      <w:pPr>
        <w:pStyle w:val="ListParagraph"/>
        <w:numPr>
          <w:ilvl w:val="0"/>
          <w:numId w:val="1"/>
        </w:numPr>
        <w:spacing w:after="60"/>
      </w:pPr>
      <w:r>
        <w:rPr>
          <w:sz w:val="22"/>
          <w:szCs w:val="22"/>
        </w:rPr>
        <w:t xml:space="preserve">Monthly expiry and slow-moving-stock review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Current DTC-defined high-risk medication list, updated at least annually and after a related incident.</w:t>
      </w:r>
    </w:p>
    <w:p>
      <w:pPr>
        <w:pStyle w:val="ListParagraph"/>
        <w:numPr>
          <w:ilvl w:val="0"/>
          <w:numId w:val="1"/>
        </w:numPr>
        <w:spacing w:after="60"/>
      </w:pPr>
      <w:r>
        <w:rPr>
          <w:sz w:val="22"/>
          <w:szCs w:val="22"/>
        </w:rPr>
        <w:t xml:space="preserve">Posted-list record at pharmacy and every location storing high-risk items.</w:t>
      </w:r>
    </w:p>
    <w:p>
      <w:pPr>
        <w:pStyle w:val="ListParagraph"/>
        <w:numPr>
          <w:ilvl w:val="0"/>
          <w:numId w:val="1"/>
        </w:numPr>
        <w:spacing w:after="60"/>
      </w:pPr>
      <w:r>
        <w:rPr>
          <w:sz w:val="22"/>
          <w:szCs w:val="22"/>
        </w:rPr>
        <w:t xml:space="preserve">Staff training record on the high-risk list.</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DTC record naming locations where each high-risk medication is clinically necessary.</w:t>
      </w:r>
    </w:p>
    <w:p>
      <w:pPr>
        <w:pStyle w:val="ListParagraph"/>
        <w:numPr>
          <w:ilvl w:val="0"/>
          <w:numId w:val="1"/>
        </w:numPr>
        <w:spacing w:after="60"/>
      </w:pPr>
      <w:r>
        <w:rPr>
          <w:sz w:val="22"/>
          <w:szCs w:val="22"/>
        </w:rPr>
        <w:t xml:space="preserve">Pharmacy issue record confirming no high-risk floor stock went to an unlisted area.</w:t>
      </w:r>
    </w:p>
    <w:p>
      <w:pPr>
        <w:pStyle w:val="ListParagraph"/>
        <w:numPr>
          <w:ilvl w:val="0"/>
          <w:numId w:val="1"/>
        </w:numPr>
        <w:spacing w:after="60"/>
      </w:pPr>
      <w:r>
        <w:rPr>
          <w:sz w:val="22"/>
          <w:szCs w:val="22"/>
        </w:rPr>
        <w:t xml:space="preserve">Walk-round record matching the location list to actual storage.</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Physical-separation record for LASA items and different concentrations — separate bins/shelves, tall-man lettering where used.</w:t>
      </w:r>
    </w:p>
    <w:p>
      <w:pPr>
        <w:pStyle w:val="ListParagraph"/>
        <w:numPr>
          <w:ilvl w:val="0"/>
          <w:numId w:val="1"/>
        </w:numPr>
        <w:spacing w:after="60"/>
      </w:pPr>
      <w:r>
        <w:rPr>
          <w:sz w:val="22"/>
          <w:szCs w:val="22"/>
        </w:rPr>
        <w:t xml:space="preserve">Monthly storage-round check record by the Pharmacy In-Charge.</w:t>
      </w:r>
    </w:p>
    <w:p>
      <w:pPr>
        <w:pStyle w:val="ListParagraph"/>
        <w:numPr>
          <w:ilvl w:val="0"/>
          <w:numId w:val="1"/>
        </w:numPr>
        <w:spacing w:after="60"/>
      </w:pPr>
      <w:r>
        <w:rPr>
          <w:sz w:val="22"/>
          <w:szCs w:val="22"/>
        </w:rPr>
        <w:t xml:space="preserve">Escalation record for any LASA pair or concentration found stored together.</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DTC-defined emergency-medication list with uniform layout across crash carts and trolleys.</w:t>
      </w:r>
    </w:p>
    <w:p>
      <w:pPr>
        <w:pStyle w:val="ListParagraph"/>
        <w:numPr>
          <w:ilvl w:val="0"/>
          <w:numId w:val="1"/>
        </w:numPr>
        <w:spacing w:after="60"/>
      </w:pPr>
      <w:r>
        <w:rPr>
          <w:sz w:val="22"/>
          <w:szCs w:val="22"/>
        </w:rPr>
        <w:t xml:space="preserve">Sealed or checklist-controlled trolley-inventory record.</w:t>
      </w:r>
    </w:p>
    <w:p>
      <w:pPr>
        <w:pStyle w:val="ListParagraph"/>
        <w:numPr>
          <w:ilvl w:val="0"/>
          <w:numId w:val="1"/>
        </w:numPr>
        <w:spacing w:after="60"/>
      </w:pPr>
      <w:r>
        <w:rPr>
          <w:sz w:val="22"/>
          <w:szCs w:val="22"/>
        </w:rPr>
        <w:t xml:space="preserve">Nursing Superintendent and Pharmacy In-Charge layout-agreement record.</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Twenty-four-hour availability confirmation record for emergency medications at every defined location.</w:t>
      </w:r>
    </w:p>
    <w:p>
      <w:pPr>
        <w:pStyle w:val="ListParagraph"/>
        <w:numPr>
          <w:ilvl w:val="0"/>
          <w:numId w:val="1"/>
        </w:numPr>
        <w:spacing w:after="60"/>
      </w:pPr>
      <w:r>
        <w:rPr>
          <w:sz w:val="22"/>
          <w:szCs w:val="22"/>
        </w:rPr>
        <w:t xml:space="preserve">Immediate-replenishment log after use, before the trolley returns to service.</w:t>
      </w:r>
    </w:p>
    <w:p>
      <w:pPr>
        <w:pStyle w:val="ListParagraph"/>
        <w:numPr>
          <w:ilvl w:val="0"/>
          <w:numId w:val="1"/>
        </w:numPr>
        <w:spacing w:after="60"/>
      </w:pPr>
      <w:r>
        <w:rPr>
          <w:sz w:val="22"/>
          <w:szCs w:val="22"/>
        </w:rPr>
        <w:t xml:space="preserve">Each-shift nursing check record against the emergency-medication list.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2026-08-21T11:28:32.407Z</dcterms:created>
  <dcterms:modified xsi:type="dcterms:W3CDTF">2026-08-21T11:28:32.408Z</dcterms:modified>
</cp:coreProperties>
</file>

<file path=docProps/custom.xml><?xml version="1.0" encoding="utf-8"?>
<Properties xmlns="http://schemas.openxmlformats.org/officeDocument/2006/custom-properties" xmlns:vt="http://schemas.openxmlformats.org/officeDocument/2006/docPropsVTypes"/>
</file>