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MOM.4: Medications are prescribed safely and rationally.</w:t>
      </w:r>
    </w:p>
    <w:p>
      <w:pPr>
        <w:spacing w:after="140"/>
      </w:pPr>
      <w:r>
        <w:rPr>
          <w:sz w:val="22"/>
          <w:szCs w:val="22"/>
        </w:rPr>
        <w:t xml:space="preserve">It covers objective elements MOM.4.a–h (8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MOM.4.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«Medical Superintendent», pharmacy, nursing, treating doctors and the Quality Coordinator.</w:t>
      </w:r>
    </w:p>
    <w:p>
      <w:pPr>
        <w:spacing w:after="140"/>
      </w:pPr>
      <w:r>
        <w:rPr>
          <w:sz w:val="22"/>
          <w:szCs w:val="22"/>
        </w:rPr>
        <w:t xml:space="preserve">It covers 8 objective elements (MOM.4.a, MOM.4.b, MOM.4.c, MOM.4.d, MOM.4.e, MOM.4.f, MOM.4.g, MOM.4.h).</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Method note (from guidebook interpretation): This shall address both outpatient and in-patient prescription. The organisation shall ensure that clinicians are trained/sensitised on the rational prescription of medications. WHO states: “Rational use of medicines requires that patients receive medications appropriate to their clinical needs, in doses that meet their own individual requirements, for an adequate period of time, and at the lowest cost to them and their community." Code of Medical Ethics-2002" published by Medical Council of India erstwhile National Medical Commission shall be followed. Refer to the glossary for a definition of “prescription”.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w:t>
      </w:r>
    </w:p>
    <w:p>
      <w:pPr>
        <w:spacing w:after="140"/>
      </w:pPr>
      <w:r>
        <w:rPr>
          <w:sz w:val="22"/>
          <w:szCs w:val="22"/>
        </w:rPr>
        <w:t xml:space="preserve">Every prescription at Preview Hospital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Method note (from guidebook interpretation): Prescriptions generated within the organisation (IPD, OPD and emergency) shall be in accordance with national/international guidelines and regulatory bodies. At a minimum, the prescription shall have the name of the patient; unique hospital number; name of the drug (generic composition is mandatory except in the case of combinations of vitamins and/or minerals), strength, dosage instruction, duration and total quantity of the medicine; name, signature and registration number of the prescribing doctor. Error-prone abbreviations shall not be used. All prescriptions shall be written in capital letters. Itis preferable to use digital prescription system to reduce errors. Prescription errors or illegible prescriptions will be initialled after a single strikethrough and rewritten. Good references are the Drugs and Cosmetics Act and the Code of Medical Ethics and Institute for Safe Medication Practices guidelines. = Commitment.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spacing w:after="140"/>
      </w:pPr>
      <w:r>
        <w:rPr>
          <w:sz w:val="22"/>
          <w:szCs w:val="22"/>
        </w:rPr>
        <w:t xml:space="preserve">Method note (from guidebook interpretation): Drug allergy and previous adverse drug reaction shall be ascertained during the initial consultation, before prescribing or at any point of time during care. It is a good practice to document drug allergies prominently in the medical record, both in OP and IP.</w:t>
      </w:r>
    </w:p>
    <w:p>
      <w:pPr>
        <w:pStyle w:val="Heading2"/>
        <w:spacing w:after="100" w:before="220"/>
      </w:pPr>
      <w:r>
        <w:t xml:space="preserve">5.4 The organisation has a mechanism to assist the clinician in prescribing...</w:t>
      </w:r>
    </w:p>
    <w:p>
      <w:pPr>
        <w:spacing w:after="140"/>
      </w:pPr>
      <w:r>
        <w:rPr>
          <w:sz w:val="22"/>
          <w:szCs w:val="22"/>
        </w:rPr>
        <w:t xml:space="preserve">Preview Hospital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spacing w:after="140"/>
      </w:pPr>
      <w:r>
        <w:rPr>
          <w:sz w:val="22"/>
          <w:szCs w:val="22"/>
        </w:rPr>
        <w:t xml:space="preserve">Method note (from guidebook interpretation): The organisation needs to provide its clinicians with a mechanism(s) to help identify drug interactions, food-drug interactions, alcohol-drug interactions, therapeutic duplication, dose adjustments etc. This could either be in electronic or in the physical form.</w:t>
      </w:r>
    </w:p>
    <w:p>
      <w:pPr>
        <w:pStyle w:val="Heading2"/>
        <w:spacing w:after="100" w:before="220"/>
      </w:pPr>
      <w:r>
        <w:t xml:space="preserve">5.5 Reconciliation of medications occurs at transition points of patient...</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Method note (from guidebook interpretation): The purpose of medication reconciliation is to ensure that the list of medications that a patient has to receive is complete and up to date with past clinical conditions and present care plan. The prescribed medications shall be checked for accuracy at the transition points, such as the time of admission, either direct or after admission from the emergency, transfer of the patient from one ward setting/department to another, or at the time of discharge. It is preferable that medication reconciliation also occurs after cross-consultation. Medication reconciliation shall be documented. There is a system for effective communication during handover regarding the reconciliation of medications.</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Method note (from guidebook interpretation): The organisation shall ensure safe medication management practices through written guidance and implementation of the same. The written guidance shall mention who can give a verbal order, when can it be given and how the order will be authenticated. Verbal orders shall be limited to urgent situations where immediate written or electronic communication is not practical. To the extent possible, their usage shall be limited. The organisation shall have an approved list of formulary drugs which can be ordered verbally. This list can be defined either by inclusion or exclusion. = Commitment iL Achievement =i Excellence NAB’ It shall ensure that the procedure incorporates good practices like “repeat back/read back”. A verbal order shall be counter-signed by the doctor who ordered it within 24 hours of ordering. For the definition of ‘verbal order’, refer to the glossary.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spacing w:after="140"/>
      </w:pPr>
      <w:r>
        <w:rPr>
          <w:sz w:val="22"/>
          <w:szCs w:val="22"/>
        </w:rPr>
        <w:t xml:space="preserve">Method note (from guidebook interpretation): The scope of the audit shall include: * legibility, use of capitals in written orders; * the appropriateness of the drug, dose, frequency, and route of administration; * the presence of therapeutic duplication; * the possibility of drug interaction and measures taken to avoid the same; * the possibility of food-drug interaction and measures taken to avoid the same. * scope for dosage adjustment in renal and hepatic impairment. * the possibility of intravenous incompatibility. * presence of inappropriate dilutions and duration of medications Infusions. * the requirements of this standard (MOM 4b, e-h). This shall be done at least once a month using a representative sample size. It could preferably be done by a clinical pharmacologist/clinical pharmacist. In case there is no clinical pharmacologist/clinical pharmacist, it could be done by a multidisciplinary committee/team, who is trained in audit of medication orders/ prescriptions. It is preferable that this is done for all prescriptions as ‘live audit’ before the medicines are dispensed.</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spacing w:after="140"/>
      </w:pPr>
      <w:r>
        <w:rPr>
          <w:sz w:val="22"/>
          <w:szCs w:val="22"/>
        </w:rPr>
        <w:t xml:space="preserve">Method note (from guidebook interpretation): Where appropriate, a corrective and/or preventive action(s) is taken based on the root-cause analysis. The records of the same shall be maintained. Commitment = Achievement = Excellence 4 MOM.5. Medications orders are written in a uniform manner.</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MOM.4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DTC-named rational-prescribing reference (for example WHO/national essential-medicines principles, hospital antimicrobial policy).</w:t>
      </w:r>
    </w:p>
    <w:p>
      <w:pPr>
        <w:pStyle w:val="ListParagraph"/>
        <w:numPr>
          <w:ilvl w:val="0"/>
          <w:numId w:val="1"/>
        </w:numPr>
        <w:spacing w:after="60"/>
      </w:pPr>
      <w:r>
        <w:rPr>
          <w:sz w:val="22"/>
          <w:szCs w:val="22"/>
        </w:rPr>
        <w:t xml:space="preserve">Prescription-audit record sampled against this guidance.</w:t>
      </w:r>
    </w:p>
    <w:p>
      <w:pPr>
        <w:pStyle w:val="ListParagraph"/>
        <w:numPr>
          <w:ilvl w:val="0"/>
          <w:numId w:val="1"/>
        </w:numPr>
        <w:spacing w:after="60"/>
      </w:pPr>
      <w:r>
        <w:rPr>
          <w:sz w:val="22"/>
          <w:szCs w:val="22"/>
        </w:rPr>
        <w:t xml:space="preserve">Training record on rational prescribing.</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Published minimum-prescription-requirement list — patient name/ID, generic name, route, strength, frequency, date/time, prescriber signature.</w:t>
      </w:r>
    </w:p>
    <w:p>
      <w:pPr>
        <w:pStyle w:val="ListParagraph"/>
        <w:numPr>
          <w:ilvl w:val="0"/>
          <w:numId w:val="1"/>
        </w:numPr>
        <w:spacing w:after="60"/>
      </w:pPr>
      <w:r>
        <w:rPr>
          <w:sz w:val="22"/>
          <w:szCs w:val="22"/>
        </w:rPr>
        <w:t xml:space="preserve">Pharmacy/nursing hold record for any order failing the minimum, except through the documented emergency path.</w:t>
      </w:r>
    </w:p>
    <w:p>
      <w:pPr>
        <w:pStyle w:val="ListParagraph"/>
        <w:numPr>
          <w:ilvl w:val="0"/>
          <w:numId w:val="1"/>
        </w:numPr>
        <w:spacing w:after="60"/>
      </w:pPr>
      <w:r>
        <w:rPr>
          <w:sz w:val="22"/>
          <w:szCs w:val="22"/>
        </w:rPr>
        <w:t xml:space="preserve">Sample-prescription record confirming the minimum was met.</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Drug-allergy and previous-ADR ascertainment record before prescribing, including "none known" entries.</w:t>
      </w:r>
    </w:p>
    <w:p>
      <w:pPr>
        <w:pStyle w:val="ListParagraph"/>
        <w:numPr>
          <w:ilvl w:val="0"/>
          <w:numId w:val="1"/>
        </w:numPr>
        <w:spacing w:after="60"/>
      </w:pPr>
      <w:r>
        <w:rPr>
          <w:sz w:val="22"/>
          <w:szCs w:val="22"/>
        </w:rPr>
        <w:t xml:space="preserve">Red-alert allergy-band record where an allergy is recorded.</w:t>
      </w:r>
    </w:p>
    <w:p>
      <w:pPr>
        <w:pStyle w:val="ListParagraph"/>
        <w:numPr>
          <w:ilvl w:val="0"/>
          <w:numId w:val="1"/>
        </w:numPr>
        <w:spacing w:after="60"/>
      </w:pPr>
      <w:r>
        <w:rPr>
          <w:sz w:val="22"/>
          <w:szCs w:val="22"/>
        </w:rPr>
        <w:t xml:space="preserve">Allergy-status carry-forward record on admission and transfer notes.</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Prescribing-assistance mechanism record — formulary access, dose-range information, pharmacy clarification of unclear orders, or e-prescribing/CDS where used.</w:t>
      </w:r>
    </w:p>
    <w:p>
      <w:pPr>
        <w:pStyle w:val="ListParagraph"/>
        <w:numPr>
          <w:ilvl w:val="0"/>
          <w:numId w:val="1"/>
        </w:numPr>
        <w:spacing w:after="60"/>
      </w:pPr>
      <w:r>
        <w:rPr>
          <w:sz w:val="22"/>
          <w:szCs w:val="22"/>
        </w:rPr>
        <w:t xml:space="preserve">Record of orders clarified by pharmacy before dispensing.</w:t>
      </w:r>
    </w:p>
    <w:p>
      <w:pPr>
        <w:pStyle w:val="ListParagraph"/>
        <w:numPr>
          <w:ilvl w:val="0"/>
          <w:numId w:val="1"/>
        </w:numPr>
        <w:spacing w:after="60"/>
      </w:pPr>
      <w:r>
        <w:rPr>
          <w:sz w:val="22"/>
          <w:szCs w:val="22"/>
        </w:rPr>
        <w:t xml:space="preserve">Confirmation the mechanism is working, not a static poster.</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Reconciled-medication-list record at admission, unit transfer and discharge.</w:t>
      </w:r>
    </w:p>
    <w:p>
      <w:pPr>
        <w:pStyle w:val="ListParagraph"/>
        <w:numPr>
          <w:ilvl w:val="0"/>
          <w:numId w:val="1"/>
        </w:numPr>
        <w:spacing w:after="60"/>
      </w:pPr>
      <w:r>
        <w:rPr>
          <w:sz w:val="22"/>
          <w:szCs w:val="22"/>
        </w:rPr>
        <w:t xml:space="preserve">Discrepancy-resolution record between the reconciling clinician and the prescriber.</w:t>
      </w:r>
    </w:p>
    <w:p>
      <w:pPr>
        <w:pStyle w:val="ListParagraph"/>
        <w:numPr>
          <w:ilvl w:val="0"/>
          <w:numId w:val="1"/>
        </w:numPr>
        <w:spacing w:after="60"/>
      </w:pPr>
      <w:r>
        <w:rPr>
          <w:sz w:val="22"/>
          <w:szCs w:val="22"/>
        </w:rPr>
        <w:t xml:space="preserve">Pharmacy support record for high-risk or polypharmacy reconciliations.</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Verbal-order record showing read-back — drug, dose, route, frequency, patient — before administration.</w:t>
      </w:r>
    </w:p>
    <w:p>
      <w:pPr>
        <w:pStyle w:val="ListParagraph"/>
        <w:numPr>
          <w:ilvl w:val="0"/>
          <w:numId w:val="1"/>
        </w:numPr>
        <w:spacing w:after="60"/>
      </w:pPr>
      <w:r>
        <w:rPr>
          <w:sz w:val="22"/>
          <w:szCs w:val="22"/>
        </w:rPr>
        <w:t xml:space="preserve">Prescriber countersignature record within 24 hours, or before the next dose.</w:t>
      </w:r>
    </w:p>
    <w:p>
      <w:pPr>
        <w:pStyle w:val="ListParagraph"/>
        <w:numPr>
          <w:ilvl w:val="0"/>
          <w:numId w:val="1"/>
        </w:numPr>
        <w:spacing w:after="60"/>
      </w:pPr>
      <w:r>
        <w:rPr>
          <w:sz w:val="22"/>
          <w:szCs w:val="22"/>
        </w:rPr>
        <w:t xml:space="preserve">Confirmation verbal orders were not used for excluded categories except under the documented emergency rule.</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Quarterly prescription-audit record — minimum requirements, allergy documentation, formulary adherence, high-risk dose checks.</w:t>
      </w:r>
    </w:p>
    <w:p>
      <w:pPr>
        <w:pStyle w:val="ListParagraph"/>
        <w:numPr>
          <w:ilvl w:val="0"/>
          <w:numId w:val="1"/>
        </w:numPr>
        <w:spacing w:after="60"/>
      </w:pPr>
      <w:r>
        <w:rPr>
          <w:sz w:val="22"/>
          <w:szCs w:val="22"/>
        </w:rPr>
        <w:t xml:space="preserve">Sample-size record meeting the defined minimum per quarter.</w:t>
      </w:r>
    </w:p>
    <w:p>
      <w:pPr>
        <w:pStyle w:val="ListParagraph"/>
        <w:numPr>
          <w:ilvl w:val="0"/>
          <w:numId w:val="1"/>
        </w:numPr>
        <w:spacing w:after="60"/>
      </w:pPr>
      <w:r>
        <w:rPr>
          <w:sz w:val="22"/>
          <w:szCs w:val="22"/>
        </w:rPr>
        <w:t xml:space="preserve">DTC presentation record of audit results.</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CAPA record from audit findings with owner and due date.</w:t>
      </w:r>
    </w:p>
    <w:p>
      <w:pPr>
        <w:pStyle w:val="ListParagraph"/>
        <w:numPr>
          <w:ilvl w:val="0"/>
          <w:numId w:val="1"/>
        </w:numPr>
        <w:spacing w:after="60"/>
      </w:pPr>
      <w:r>
        <w:rPr>
          <w:sz w:val="22"/>
          <w:szCs w:val="22"/>
        </w:rPr>
        <w:t xml:space="preserve">Closure-tracking record by the Medication Safety Officer.</w:t>
      </w:r>
    </w:p>
    <w:p>
      <w:pPr>
        <w:pStyle w:val="ListParagraph"/>
        <w:numPr>
          <w:ilvl w:val="0"/>
          <w:numId w:val="1"/>
        </w:numPr>
        <w:spacing w:after="60"/>
      </w:pPr>
      <w:r>
        <w:rPr>
          <w:sz w:val="22"/>
          <w:szCs w:val="22"/>
        </w:rPr>
        <w:t xml:space="preserve">Example action record — prescriber feedback, guidance change, or training.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2026-08-21T11:28:33.302Z</dcterms:created>
  <dcterms:modified xsi:type="dcterms:W3CDTF">2026-08-21T11:28:33.304Z</dcterms:modified>
</cp:coreProperties>
</file>

<file path=docProps/custom.xml><?xml version="1.0" encoding="utf-8"?>
<Properties xmlns="http://schemas.openxmlformats.org/officeDocument/2006/custom-properties" xmlns:vt="http://schemas.openxmlformats.org/officeDocument/2006/docPropsVTypes"/>
</file>