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Informed Consent for Care</w:t>
      </w:r>
    </w:p>
    <w:p>
      <w:pPr>
        <w:spacing w:after="240"/>
        <w:jc w:val="center"/>
      </w:pPr>
      <w:r>
        <w:rPr>
          <w:i/>
          <w:iCs/>
          <w:sz w:val="20"/>
          <w:szCs w:val="20"/>
        </w:rPr>
        <w:t xml:space="preserve">HCO Full Accreditation, 6th Edition — PRE.4.</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«HCO/PRE/POL/04»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Informed consent is obtained from the patient or family about their care.</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PRE.4: Informed consent is obtained from the patient or family about their care.</w:t>
      </w:r>
    </w:p>
    <w:p>
      <w:pPr>
        <w:spacing w:after="140"/>
      </w:pPr>
      <w:r>
        <w:rPr>
          <w:sz w:val="22"/>
          <w:szCs w:val="22"/>
        </w:rPr>
        <w:t xml:space="preserve">It covers objective elements PRE.4.a–e (5 elements).</w:t>
      </w:r>
    </w:p>
    <w:p>
      <w:pPr>
        <w:spacing w:after="140"/>
      </w:pPr>
      <w:r>
        <w:rPr>
          <w:sz w:val="22"/>
          <w:szCs w:val="22"/>
        </w:rPr>
        <w:t xml:space="preserve">Chapter intent (official Standards PDF): The organisation defines, protects and promotes the patient and family's rights and responsibilities. The staff is aware of these rights and is trained to protect them. Patients are informed of their rights and educated about their responsibilities at the time of entering the organisation. The expected costs of treatment and care are explained clearly to the patient and / or family. The organisation encourages patient engagement to enhance clinical outcomes, safety and quality. Patients are educated about the mechanisms available for addressing grievances. Informed consent is obtained from the patient or family for specified procedures / care. The key components of information shall include risks, benefits and alternatives. Patients and families have a right to get information and education about their healthcare needs in a language and manner that is understood by them. The organisation has a mechanism to capture the patient experience including patient reported experience measures (PREM). The organisation develops effective patient-centred communication.</w:t>
      </w:r>
    </w:p>
    <w:p>
      <w:pPr>
        <w:spacing w:after="140"/>
      </w:pPr>
      <w:r>
        <w:rPr>
          <w:sz w:val="22"/>
          <w:szCs w:val="22"/>
        </w:rPr>
        <w:t xml:space="preserve">This policy owns PRE.4. Related AAC, COP, MOM, IPC/HIC and IMS duties stay with those policies — cross-reference only. Other PRE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register, admit, treat, counsel, bill, take consent from, or communicate with patients and families at Preview Hospital, including the «Medical Superintendent», treating doctors, nursing, Guest Relations / Patient Rights, Patient Accounts and the Quality Coordinator.</w:t>
      </w:r>
    </w:p>
    <w:p>
      <w:pPr>
        <w:spacing w:after="140"/>
      </w:pPr>
      <w:r>
        <w:rPr>
          <w:sz w:val="22"/>
          <w:szCs w:val="22"/>
        </w:rPr>
        <w:t xml:space="preserve">It covers 5 objective elements (PRE.4.a, PRE.4.b, PRE.4.c, PRE.4.d, PRE.4.e).</w:t>
      </w:r>
    </w:p>
    <w:p>
      <w:pPr>
        <w:spacing w:after="140"/>
      </w:pPr>
      <w:r>
        <w:rPr>
          <w:sz w:val="22"/>
          <w:szCs w:val="22"/>
        </w:rPr>
        <w:t xml:space="preserve">Boundaries: do not overwrite HCO AAC, COP or MOM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Preview Hospital implements PRE.4 so that informed consent is obtained from the patient or family about their care.</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obtains informed consent from the patient or family for situations where informed consent is...</w:t>
      </w:r>
    </w:p>
    <w:p>
      <w:pPr>
        <w:spacing w:after="80"/>
      </w:pPr>
      <w:r>
        <w:rPr>
          <w:sz w:val="22"/>
          <w:szCs w:val="22"/>
        </w:rPr>
        <w:t xml:space="preserve">2. Do not skip: Informed consent process adheres to statutory norms.</w:t>
      </w:r>
    </w:p>
    <w:p>
      <w:pPr>
        <w:spacing w:after="80"/>
      </w:pPr>
      <w:r>
        <w:rPr>
          <w:sz w:val="22"/>
          <w:szCs w:val="22"/>
        </w:rPr>
        <w:t xml:space="preserve">3. Do not skip: Informed consent includes information regarding the procedure; it’s risks, benefits, alternatives and as to...</w:t>
      </w:r>
    </w:p>
    <w:p>
      <w:pPr>
        <w:spacing w:after="80"/>
      </w:pPr>
      <w:r>
        <w:rPr>
          <w:sz w:val="22"/>
          <w:szCs w:val="22"/>
        </w:rPr>
        <w:t xml:space="preserve">4. Do not skip: The organisation describes who can give consent when a patient is incapable of independent decision making...</w:t>
      </w:r>
    </w:p>
    <w:p>
      <w:pPr>
        <w:spacing w:after="80"/>
      </w:pPr>
      <w:r>
        <w:rPr>
          <w:sz w:val="22"/>
          <w:szCs w:val="22"/>
        </w:rPr>
        <w:t xml:space="preserve">5. Do not skip: Informed consent is taken by the person performing the procedure.</w:t>
      </w:r>
    </w:p>
    <w:p>
      <w:pPr>
        <w:spacing w:after="80"/>
      </w:pPr>
      <w:r>
        <w:rPr>
          <w:sz w:val="22"/>
          <w:szCs w:val="22"/>
        </w:rPr>
        <w:t xml:space="preserve">6. Do not bypass the stop-work authority in section 6 when the trigger conditions are met.</w:t>
      </w:r>
    </w:p>
    <w:p>
      <w:pPr>
        <w:spacing w:after="80"/>
      </w:pPr>
      <w:r>
        <w:rPr>
          <w:sz w:val="22"/>
          <w:szCs w:val="22"/>
        </w:rPr>
        <w:t xml:space="preserve">7. Staff who see a PRE.4 rule broken report it the same shift to the «department in-charge» or the «Quality Coordinator».</w:t>
      </w:r>
    </w:p>
    <w:p>
      <w:pPr>
        <w:pStyle w:val="Heading1"/>
        <w:spacing w:after="120" w:before="280"/>
      </w:pPr>
      <w:r>
        <w:t xml:space="preserve">5. What we do</w:t>
      </w:r>
    </w:p>
    <w:p>
      <w:pPr>
        <w:pStyle w:val="Heading2"/>
        <w:spacing w:after="100" w:before="220"/>
      </w:pPr>
      <w:r>
        <w:t xml:space="preserve">5.1 The organisation obtains informed consent from the patient or family...</w:t>
      </w:r>
    </w:p>
    <w:p>
      <w:pPr>
        <w:spacing w:after="140"/>
      </w:pPr>
      <w:r>
        <w:rPr>
          <w:sz w:val="22"/>
          <w:szCs w:val="22"/>
        </w:rPr>
        <w:t xml:space="preserve">The «Medical Superintendent» keeps a written list of procedures for which informed consent is required. The list is built from this standard and from statutory requirements — including, where they apply to Preview Hospital's scope, the MTP Act, the PC-PNDT Act, the Transplantation of Human Organs Act, and HIV testing under the HIV and AIDS (Prevention and Control) Act 2017 and NACO policy.</w:t>
      </w:r>
    </w:p>
    <w:p>
      <w:pPr>
        <w:spacing w:after="140"/>
      </w:pPr>
      <w:r>
        <w:rPr>
          <w:sz w:val="22"/>
          <w:szCs w:val="22"/>
        </w:rPr>
        <w:t xml:space="preserve">Written guidance names the steps of the consent process and the person responsible. Staff who obtain consent are trained on that guidance. Starting a listed procedure without consent is a stop-work trigger (section 6).</w:t>
      </w:r>
    </w:p>
    <w:p>
      <w:pPr>
        <w:spacing w:after="140"/>
      </w:pPr>
      <w:r>
        <w:rPr>
          <w:sz w:val="22"/>
          <w:szCs w:val="22"/>
        </w:rPr>
        <w:t xml:space="preserve">Method note (from guidebook interpretation): A list of procedures shall be made for which informed consent is required. This shall be prepared to keep in mind the requirements of this standard and statutory requirement. For example, some statutory requirements are MTP Act, PC-PNDT Act and The Transplantation of Human Organs Act. The policy for HIV testing shall follow HIV and AIDS (prevention and control) act 2017 and the national policy on HIV testing laid down by National AIDS Control Organisation (NACO). The organisation shall have written guidance explaining the various steps involved in the informed consent process and the person responsible. The staff are made aware of the same.</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5.2 Informed consent process adheres to statutory norms</w:t>
      </w:r>
    </w:p>
    <w:p>
      <w:pPr>
        <w:spacing w:after="140"/>
      </w:pPr>
      <w:r>
        <w:rPr>
          <w:sz w:val="22"/>
          <w:szCs w:val="22"/>
        </w:rPr>
        <w:t xml:space="preserve">The consent process follows statutory norms, including at least: consent taken before the procedure; at least one witness who was present for the entire doctor–patient communication signing the form.</w:t>
      </w:r>
    </w:p>
    <w:p>
      <w:pPr>
        <w:spacing w:after="140"/>
      </w:pPr>
      <w:r>
        <w:rPr>
          <w:sz w:val="22"/>
          <w:szCs w:val="22"/>
        </w:rPr>
        <w:t xml:space="preserve">For a procedure repeated over a long time (for example dialysis), consent is taken at the first instance with a defined validity not more than six months; the patient endorses at each repeat; a change or addition of modality needs fresh consent. The «Quality Coordinator» audits a sample of consent forms «quarterly».</w:t>
      </w:r>
    </w:p>
    <w:p>
      <w:pPr>
        <w:spacing w:after="140"/>
      </w:pPr>
      <w:r>
        <w:rPr>
          <w:sz w:val="22"/>
          <w:szCs w:val="22"/>
        </w:rPr>
        <w:t xml:space="preserve">Method note (from guidebook interpretation): This includes (but is not limited to): 1. Taking consent before the procedure; 2. At least one witness signing the consent form. The witness shall be a person who was present for the entire duration of the communication between the doctor and the patient. In case the patient has to undergo a procedure repeatedly for a long time (for example dialysis) ,informed consent is taken at the first instance. Such consent shall have a defined validity period but not more than six months. The patient endorses the consent at each repeat treatment. However, if there is a change in the treatment modality or an addition of another modality, then fresh consent shall be obtained.</w:t>
      </w:r>
    </w:p>
    <w:p>
      <w:pPr>
        <w:pStyle w:val="Heading2"/>
        <w:spacing w:after="100" w:before="220"/>
      </w:pPr>
      <w:r>
        <w:t xml:space="preserve">5.3 Informed consent includes information regarding the procedure; it’s...</w:t>
      </w:r>
    </w:p>
    <w:p>
      <w:pPr>
        <w:spacing w:after="140"/>
      </w:pPr>
      <w:r>
        <w:rPr>
          <w:sz w:val="22"/>
          <w:szCs w:val="22"/>
        </w:rPr>
        <w:t xml:space="preserve">The consent names the doctor performing the procedure. If more than one specialty operates, the consent names the principal surgeon from each specialty; each explains their own role, benefits, risks and alternatives. A doctor under training is specified, and the supervising qualified doctor is named.</w:t>
      </w:r>
    </w:p>
    <w:p>
      <w:pPr>
        <w:spacing w:after="140"/>
      </w:pPr>
      <w:r>
        <w:rPr>
          <w:sz w:val="22"/>
          <w:szCs w:val="22"/>
        </w:rPr>
        <w:t xml:space="preserve">The form is at least bilingual. If counselling is in a language other than the form, the record names that language and any interpreter. Risks, benefits and alternatives are part of the documentation. Consent is a communication process, not only a signature.</w:t>
      </w:r>
    </w:p>
    <w:p>
      <w:pPr>
        <w:spacing w:after="140"/>
      </w:pPr>
      <w:r>
        <w:rPr>
          <w:sz w:val="22"/>
          <w:szCs w:val="22"/>
        </w:rPr>
        <w:t xml:space="preserve">Method note (from guidebook interpretation): The consent shall have the name of the doctor performing the procedure. In case a procedure requires more than one doctor from different specialities, then the same will have to be explained to the patient and consent shall include the name of the principal surgeon from each speciality who is performing the procedure. Each doctor will have to explain his role and address all aspects required for informed consent. for example, if the surgery involves the requirement of a Neurosurgeon, ENT surgeon and an Ophthalmologist, the consent shall reflect the same. It shall have the names of the principal surgeons of the three specialities. It is the responsibility of each of the surgeons/team to explain their role and the benefits/risks and alternatives of the procedures they are performing on the patient. If it is a “doctor under training” the same shall be specified. However, the name of the qualified doctor supervising the procedure shall also be mentioned. The consent form shall at a minimum be bilingual. When consent is taken in a language other than what the patient understands, there shall be clear documentation detailing the language in which the patient has been counselled and if any interpreter has been used. It shall have the risks, benefits and alternatives of the procedure as a part of the documentation. The focus is on informed consent as a process of effective communication between a doctor and patient and not a signature on a form.</w:t>
      </w:r>
    </w:p>
    <w:p>
      <w:pPr>
        <w:spacing w:after="140"/>
      </w:pPr>
      <w:r>
        <w:rPr>
          <w:sz w:val="22"/>
          <w:szCs w:val="22"/>
        </w:rPr>
        <w:t xml:space="preserve">This is a CORE objective element — non-compliance is not acceptable for accreditation.</w:t>
      </w:r>
    </w:p>
    <w:p>
      <w:pPr>
        <w:pStyle w:val="Heading2"/>
        <w:spacing w:after="100" w:before="220"/>
      </w:pPr>
      <w:r>
        <w:t xml:space="preserve">5.4 The organisation describes who can give consent when a patient is...</w:t>
      </w:r>
    </w:p>
    <w:p>
      <w:pPr>
        <w:spacing w:after="140"/>
      </w:pPr>
      <w:r>
        <w:rPr>
          <w:sz w:val="22"/>
          <w:szCs w:val="22"/>
        </w:rPr>
        <w:t xml:space="preserve">Consent is taken from the patient whenever the patient is capable and above the legal age. No one consents on behalf of a competent adult. When the patient is incapable, next of kin / legal guardian is used, in the order spouse, son/daughter, parents, brothers/sister, unless a statute applicable to that case says otherwise.</w:t>
      </w:r>
    </w:p>
    <w:p>
      <w:pPr>
        <w:spacing w:after="140"/>
      </w:pPr>
      <w:r>
        <w:rPr>
          <w:sz w:val="22"/>
          <w:szCs w:val="22"/>
        </w:rPr>
        <w:t xml:space="preserve">In a life-threatening situation when the patient is incapable and next of kin is not available, the treating doctor and another clinician may decide to safeguard the patient's life; both names and the reason are recorded the same shift.</w:t>
      </w:r>
    </w:p>
    <w:p>
      <w:pPr>
        <w:spacing w:after="140"/>
      </w:pPr>
      <w:r>
        <w:rPr>
          <w:sz w:val="22"/>
          <w:szCs w:val="22"/>
        </w:rPr>
        <w:t xml:space="preserve">Method note (from guidebook interpretation): The consent shall be taken from the patient in all cases when the patient is capable of giving consent and above the legal age for giving consent. No one can consent on behalf of a competent adult. The organisation zi shall take into consideration the statutory norms when the patient is incapable of independent decision making. This would include next of kin/legal guardian. The order of preference of next of kin/legal guardian is spouse, son/daughter/parents/brothers/sister. For life-threatening situations when a patient is incapable and next of kin is not available, in the interest of the patient, the treating doctor and another clinician can decide to safeguard the patients’ life..</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5.5 Informed consent is taken by the person performing the procedure</w:t>
      </w:r>
    </w:p>
    <w:p>
      <w:pPr>
        <w:spacing w:after="140"/>
      </w:pPr>
      <w:r>
        <w:rPr>
          <w:sz w:val="22"/>
          <w:szCs w:val="22"/>
        </w:rPr>
        <w:t xml:space="preserve">The person performing the procedure is responsible for the entire consent process — explanation and signature. It is not acceptable for that person only to explain and for a nurse to take the written consent.</w:t>
      </w:r>
    </w:p>
    <w:p>
      <w:pPr>
        <w:spacing w:after="140"/>
      </w:pPr>
      <w:r>
        <w:rPr>
          <w:sz w:val="22"/>
          <w:szCs w:val="22"/>
        </w:rPr>
        <w:t xml:space="preserve">A doctor member of the performing team may take consent on that person's behalf. Cross-reference COP.7.e, COP.12.b, COP.13.d and COP.14.c for procedure-, sedation-, anaesthesia- and surgery-specific consent. The «Medical Superintendent» samples this on «quarterly» record audit.</w:t>
      </w:r>
    </w:p>
    <w:p>
      <w:pPr>
        <w:spacing w:after="140"/>
      </w:pPr>
      <w:r>
        <w:rPr>
          <w:sz w:val="22"/>
          <w:szCs w:val="22"/>
        </w:rPr>
        <w:t xml:space="preserve">Method note (from guidebook interpretation): The person performing shall be responsible for the entire consent process, including providing explanation and taking the signature. For example, it is not acceptable if the person performing the procedure only explains, and the written consent is taken by the nurse. A doctor member of the team can take consent on behalf of the person performing the procedure. Refer to COP7.e., COR 12.b., COP. 13.d. and COP 14.c.</w:t>
      </w:r>
    </w:p>
    <w:p>
      <w:pPr>
        <w:spacing w:after="140"/>
      </w:pPr>
      <w:r>
        <w:rPr>
          <w:sz w:val="22"/>
          <w:szCs w:val="22"/>
        </w:rPr>
        <w:t xml:space="preserve">This is a CORE objective element — non-compliance is not acceptable for accreditation.</w:t>
      </w:r>
    </w:p>
    <w:p>
      <w:pPr>
        <w:pStyle w:val="Heading1"/>
        <w:spacing w:after="120" w:before="280"/>
      </w:pPr>
      <w:r>
        <w:t xml:space="preserve">6. Stop-work authority</w:t>
      </w:r>
    </w:p>
    <w:p>
      <w:pPr>
        <w:spacing w:after="140"/>
      </w:pPr>
      <w:r>
        <w:rPr>
          <w:sz w:val="22"/>
          <w:szCs w:val="22"/>
        </w:rPr>
        <w:t xml:space="preserve">Do not start a procedure on the organisation's informed-consent list until valid informed consent has been obtained from the patient, or from the person who may consent when the patient is incapable of independent decision-making, in a language they can understand.</w:t>
      </w:r>
    </w:p>
    <w:p>
      <w:pPr>
        <w:spacing w:after="140"/>
      </w:pPr>
      <w:r>
        <w:rPr>
          <w:sz w:val="22"/>
          <w:szCs w:val="22"/>
        </w:rPr>
        <w:t xml:space="preserve">Do not accept a consent form signed by a nurse or clerk as the only consent when the person performing the procedure (or a doctor member of that team) has not explained the procedure, its risks, benefits, alternatives and who will perform it.</w:t>
      </w:r>
    </w:p>
    <w:p>
      <w:pPr>
        <w:spacing w:after="140"/>
      </w:pPr>
      <w:r>
        <w:rPr>
          <w:sz w:val="22"/>
          <w:szCs w:val="22"/>
        </w:rPr>
        <w:t xml:space="preserve">Stop-work applies to the procedure start. Immediate life-saving care when the patient is incapable and next of kin is not available follows the two-clinician emergency rule in section 5, and is documented the same shift.</w:t>
      </w:r>
    </w:p>
    <w:p>
      <w:pPr>
        <w:spacing w:after="140"/>
      </w:pPr>
      <w:r>
        <w:rPr>
          <w:sz w:val="22"/>
          <w:szCs w:val="22"/>
        </w:rPr>
        <w:t xml:space="preserve">The person who stops tells the «person performing the procedure» and the «Medical Superintendent» the same shift. Refusing to start without valid consent is not a disciplinary matter.</w:t>
      </w:r>
    </w:p>
    <w:p>
      <w:pPr>
        <w:pStyle w:val="Heading1"/>
        <w:spacing w:after="120" w:before="280"/>
      </w:pPr>
      <w:r>
        <w:t xml:space="preserve">7.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PRE.4 is resourced and followed.</w:t>
      </w:r>
    </w:p>
    <w:p>
      <w:pPr>
        <w:pStyle w:val="ListParagraph"/>
        <w:numPr>
          <w:ilvl w:val="0"/>
          <w:numId w:val="1"/>
        </w:numPr>
        <w:spacing w:after="60"/>
      </w:pPr>
      <w:r>
        <w:rPr>
          <w:sz w:val="22"/>
          <w:szCs w:val="22"/>
        </w:rPr>
        <w:t xml:space="preserve">Acts on rights violations, consent failures and communication breaches that reach top leadership.</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Guest Relations / Patient Rights Officer</w:t>
      </w:r>
    </w:p>
    <w:p>
      <w:pPr>
        <w:pStyle w:val="ListParagraph"/>
        <w:numPr>
          <w:ilvl w:val="0"/>
          <w:numId w:val="1"/>
        </w:numPr>
        <w:spacing w:after="60"/>
      </w:pPr>
      <w:r>
        <w:rPr>
          <w:sz w:val="22"/>
          <w:szCs w:val="22"/>
        </w:rPr>
        <w:t xml:space="preserve">Supports rights display, counselling, complaint access and family communication as this standard requires.</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rights incident, consent failure or complaint cluster.</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Informed Consent for Care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Patient Rights and Education, standard PRE.4.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PRE.4 interpretations (source PDF md5 2c4489ee98de4ae9b49cba168ea9f42a; OCR policies/source/hco6_pre_guidebook_ocr.txt).</w:t>
      </w:r>
    </w:p>
    <w:p>
      <w:pPr>
        <w:pStyle w:val="ListParagraph"/>
        <w:numPr>
          <w:ilvl w:val="0"/>
          <w:numId w:val="1"/>
        </w:numPr>
        <w:spacing w:after="60"/>
      </w:pPr>
      <w:r>
        <w:rPr>
          <w:sz w:val="22"/>
          <w:szCs w:val="22"/>
        </w:rPr>
        <w:t xml:space="preserve">Internal documents of Preview Hospital: Patient Rights display and pamphlet, informed-consent list and forms, tariff and estimate process, feedback and complaints guidance, and communication models named for PRE.4.</w:t>
      </w:r>
    </w:p>
    <w:p>
      <w:pPr>
        <w:pStyle w:val="Heading1"/>
        <w:spacing w:after="120" w:before="280"/>
      </w:pPr>
      <w:r>
        <w:t xml:space="preserve">11. Distribution</w:t>
      </w:r>
    </w:p>
    <w:p>
      <w:pPr>
        <w:spacing w:after="140"/>
      </w:pPr>
      <w:r>
        <w:rPr>
          <w:sz w:val="22"/>
          <w:szCs w:val="22"/>
        </w:rPr>
        <w:t xml:space="preserve">Medical Superintendent; Nursing Superintendent; Guest Relations / Patient Rights Officer; Patient Accounts In-Charge; Quality Coordinator; department clinical staff covered by PRE.4</w:t>
      </w:r>
    </w:p>
    <w:p>
      <w:pPr>
        <w:pStyle w:val="Heading1"/>
        <w:spacing w:after="120" w:before="280"/>
      </w:pPr>
      <w:r>
        <w:t xml:space="preserve">12. Abbreviations</w:t>
      </w:r>
    </w:p>
    <w:p>
      <w:pPr>
        <w:spacing w:after="140"/>
      </w:pPr>
      <w:r>
        <w:rPr>
          <w:sz w:val="22"/>
          <w:szCs w:val="22"/>
        </w:rPr>
        <w:t xml:space="preserve">CAPA — Corrective and Preventive Action
CORE — Core objective element (NABH)
HCO — Hospital (Full Accreditation programme under NABH Hospitals 6th Edition)
IEC — Information, Education and Communication
IMS — Information Management System (NABH Hospitals chapter)
NABH — National Accreditation Board for Hospitals and Healthcare Providers
NACO — National AIDS Control Organisation
OE — Objective Element
PRE — Patient Rights and Education (NABH Hospitals chapter)
PREM — Patient-Reported Experience Measure
SPIKES — Setting, Perception, Invitation/information, Knowledge, Empathy, Summarize/strategize (breaking-bad-news model named in the Guidebook)</w:t>
      </w:r>
    </w:p>
    <w:p>
      <w:pPr>
        <w:pStyle w:val="Heading1"/>
        <w:spacing w:after="120" w:before="280"/>
      </w:pPr>
      <w:r>
        <w:t xml:space="preserve">13. Traceability to NABH HCO Full Accreditation 6th Edition PRE.4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obtains informed consent from the patient or family for situations where informed consent is required.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Informed consent process adheres to statutory norms.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Informed consent includes information regarding the procedure; it’s risks, benefits, alternatives and as to who will perform the procedure in a language that they can understand.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describes who can give consent when a patient is incapable of independent decision making and implements the same.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PRE.4.e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Informed consent is taken by the person performing the procedure.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PRE.4.a — The organisation obtains informed consent from the patient or family for situations where informed consent is required.</w:t>
      </w:r>
    </w:p>
    <w:p>
      <w:pPr>
        <w:pStyle w:val="ListParagraph"/>
        <w:numPr>
          <w:ilvl w:val="0"/>
          <w:numId w:val="1"/>
        </w:numPr>
        <w:spacing w:after="60"/>
      </w:pPr>
      <w:r>
        <w:rPr>
          <w:sz w:val="22"/>
          <w:szCs w:val="22"/>
        </w:rPr>
        <w:t xml:space="preserve">Written list of procedures requiring informed consent, cross-referencing applicable statutes (for example the MTP Act, PC-PNDT Act, Transplantation of Human Organs Act, HIV Act/NACO policy where in scope).</w:t>
      </w:r>
    </w:p>
    <w:p>
      <w:pPr>
        <w:pStyle w:val="ListParagraph"/>
        <w:numPr>
          <w:ilvl w:val="0"/>
          <w:numId w:val="1"/>
        </w:numPr>
        <w:spacing w:after="60"/>
      </w:pPr>
      <w:r>
        <w:rPr>
          <w:sz w:val="22"/>
          <w:szCs w:val="22"/>
        </w:rPr>
        <w:t xml:space="preserve">Staff training record on the consent process.</w:t>
      </w:r>
    </w:p>
    <w:p>
      <w:pPr>
        <w:pStyle w:val="ListParagraph"/>
        <w:numPr>
          <w:ilvl w:val="0"/>
          <w:numId w:val="1"/>
        </w:numPr>
        <w:spacing w:after="60"/>
      </w:pPr>
      <w:r>
        <w:rPr>
          <w:sz w:val="22"/>
          <w:szCs w:val="22"/>
        </w:rPr>
        <w:t xml:space="preserve">Escalation record for any listed procedure started without consent.</w:t>
      </w:r>
    </w:p>
    <w:p>
      <w:pPr>
        <w:pStyle w:val="Heading2"/>
        <w:spacing w:after="100" w:before="220"/>
      </w:pPr>
      <w:r>
        <w:t xml:space="preserve">PRE.4.b — Informed consent process adheres to statutory norms.</w:t>
      </w:r>
    </w:p>
    <w:p>
      <w:pPr>
        <w:pStyle w:val="ListParagraph"/>
        <w:numPr>
          <w:ilvl w:val="0"/>
          <w:numId w:val="1"/>
        </w:numPr>
        <w:spacing w:after="60"/>
      </w:pPr>
      <w:r>
        <w:rPr>
          <w:sz w:val="22"/>
          <w:szCs w:val="22"/>
        </w:rPr>
        <w:t xml:space="preserve">Consent form showing at least one witness present for the full doctor-patient communication.</w:t>
      </w:r>
    </w:p>
    <w:p>
      <w:pPr>
        <w:pStyle w:val="ListParagraph"/>
        <w:numPr>
          <w:ilvl w:val="0"/>
          <w:numId w:val="1"/>
        </w:numPr>
        <w:spacing w:after="60"/>
      </w:pPr>
      <w:r>
        <w:rPr>
          <w:sz w:val="22"/>
          <w:szCs w:val="22"/>
        </w:rPr>
        <w:t xml:space="preserve">Repeat-procedure consent-validity record (for example dialysis, six-month validity, endorsement at each repeat).</w:t>
      </w:r>
    </w:p>
    <w:p>
      <w:pPr>
        <w:pStyle w:val="ListParagraph"/>
        <w:numPr>
          <w:ilvl w:val="0"/>
          <w:numId w:val="1"/>
        </w:numPr>
        <w:spacing w:after="60"/>
      </w:pPr>
      <w:r>
        <w:rPr>
          <w:sz w:val="22"/>
          <w:szCs w:val="22"/>
        </w:rPr>
        <w:t xml:space="preserve">Quarterly consent-form audit record by the Quality Coordinator.</w:t>
      </w:r>
    </w:p>
    <w:p>
      <w:pPr>
        <w:pStyle w:val="Heading2"/>
        <w:spacing w:after="100" w:before="220"/>
      </w:pPr>
      <w:r>
        <w:t xml:space="preserve">PRE.4.c — Informed consent includes information regarding the procedure; it’s risks, benefits, alternatives and as to who will perform the procedure in a language that they can understand.</w:t>
      </w:r>
    </w:p>
    <w:p>
      <w:pPr>
        <w:pStyle w:val="ListParagraph"/>
        <w:numPr>
          <w:ilvl w:val="0"/>
          <w:numId w:val="1"/>
        </w:numPr>
        <w:spacing w:after="60"/>
      </w:pPr>
      <w:r>
        <w:rPr>
          <w:sz w:val="22"/>
          <w:szCs w:val="22"/>
        </w:rPr>
        <w:t xml:space="preserve">Consent form naming the performing doctor, and each principal surgeon where multiple specialties operate.</w:t>
      </w:r>
    </w:p>
    <w:p>
      <w:pPr>
        <w:pStyle w:val="ListParagraph"/>
        <w:numPr>
          <w:ilvl w:val="0"/>
          <w:numId w:val="1"/>
        </w:numPr>
        <w:spacing w:after="60"/>
      </w:pPr>
      <w:r>
        <w:rPr>
          <w:sz w:val="22"/>
          <w:szCs w:val="22"/>
        </w:rPr>
        <w:t xml:space="preserve">Trainee-doctor and supervising-doctor naming record, where applicable.</w:t>
      </w:r>
    </w:p>
    <w:p>
      <w:pPr>
        <w:pStyle w:val="ListParagraph"/>
        <w:numPr>
          <w:ilvl w:val="0"/>
          <w:numId w:val="1"/>
        </w:numPr>
        <w:spacing w:after="60"/>
      </w:pPr>
      <w:r>
        <w:rPr>
          <w:sz w:val="22"/>
          <w:szCs w:val="22"/>
        </w:rPr>
        <w:t xml:space="preserve">Bilingual form and interpreter record, where used.</w:t>
      </w:r>
    </w:p>
    <w:p>
      <w:pPr>
        <w:pStyle w:val="Heading2"/>
        <w:spacing w:after="100" w:before="220"/>
      </w:pPr>
      <w:r>
        <w:t xml:space="preserve">PRE.4.d — The organisation describes who can give consent when a patient is incapable of independent decision making and implements the same.</w:t>
      </w:r>
    </w:p>
    <w:p>
      <w:pPr>
        <w:pStyle w:val="ListParagraph"/>
        <w:numPr>
          <w:ilvl w:val="0"/>
          <w:numId w:val="1"/>
        </w:numPr>
        <w:spacing w:after="60"/>
      </w:pPr>
      <w:r>
        <w:rPr>
          <w:sz w:val="22"/>
          <w:szCs w:val="22"/>
        </w:rPr>
        <w:t xml:space="preserve">Written description of who can consent when the patient is incapable — the next-of-kin order.</w:t>
      </w:r>
    </w:p>
    <w:p>
      <w:pPr>
        <w:pStyle w:val="ListParagraph"/>
        <w:numPr>
          <w:ilvl w:val="0"/>
          <w:numId w:val="1"/>
        </w:numPr>
        <w:spacing w:after="60"/>
      </w:pPr>
      <w:r>
        <w:rPr>
          <w:sz w:val="22"/>
          <w:szCs w:val="22"/>
        </w:rPr>
        <w:t xml:space="preserve">Consent record showing the correct order was followed for a sampled incapable-patient case.</w:t>
      </w:r>
    </w:p>
    <w:p>
      <w:pPr>
        <w:pStyle w:val="ListParagraph"/>
        <w:numPr>
          <w:ilvl w:val="0"/>
          <w:numId w:val="1"/>
        </w:numPr>
        <w:spacing w:after="60"/>
      </w:pPr>
      <w:r>
        <w:rPr>
          <w:sz w:val="22"/>
          <w:szCs w:val="22"/>
        </w:rPr>
        <w:t xml:space="preserve">Same-shift dual-clinician life-threatening-decision record, where applicable.</w:t>
      </w:r>
    </w:p>
    <w:p>
      <w:pPr>
        <w:pStyle w:val="Heading2"/>
        <w:spacing w:after="100" w:before="220"/>
      </w:pPr>
      <w:r>
        <w:t xml:space="preserve">PRE.4.e — Informed consent is taken by the person performing the procedure.</w:t>
      </w:r>
    </w:p>
    <w:p>
      <w:pPr>
        <w:pStyle w:val="ListParagraph"/>
        <w:numPr>
          <w:ilvl w:val="0"/>
          <w:numId w:val="1"/>
        </w:numPr>
        <w:spacing w:after="60"/>
      </w:pPr>
      <w:r>
        <w:rPr>
          <w:sz w:val="22"/>
          <w:szCs w:val="22"/>
        </w:rPr>
        <w:t xml:space="preserve">Consent record confirming the performing doctor, or a doctor member of that team, obtained it — not delegated to nursing.</w:t>
      </w:r>
    </w:p>
    <w:p>
      <w:pPr>
        <w:pStyle w:val="ListParagraph"/>
        <w:numPr>
          <w:ilvl w:val="0"/>
          <w:numId w:val="1"/>
        </w:numPr>
        <w:spacing w:after="60"/>
      </w:pPr>
      <w:r>
        <w:rPr>
          <w:sz w:val="22"/>
          <w:szCs w:val="22"/>
        </w:rPr>
        <w:t xml:space="preserve">Quarterly record-audit sample by the Medical Superintendent.</w:t>
      </w:r>
    </w:p>
    <w:p>
      <w:pPr>
        <w:pStyle w:val="ListParagraph"/>
        <w:numPr>
          <w:ilvl w:val="0"/>
          <w:numId w:val="1"/>
        </w:numPr>
        <w:spacing w:after="60"/>
      </w:pPr>
      <w:r>
        <w:rPr>
          <w:sz w:val="22"/>
          <w:szCs w:val="22"/>
        </w:rPr>
        <w:t xml:space="preserve">Cross-reference to procedure-, sedation-, anaesthesia- and surgery-specific consent policies (COP.7/12/13/14).</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statutory norms for informed consent as named in NABH PRE.4, including where applicable the Medical Termination of Pregnancy Act, the Pre-Conception and Pre-Natal Diagnostic Techniques Act, the Transplantation of Human Organs Act, and the Human Immunodeficiency Virus and Acquired Immune Deficiency Syndrome (Prevention and Control) Act, 2017 / NACO HIV-testing policy as referenced in the Guidebook interpretation of PRE.4.a.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«HCO/PRE/POL/04»  |  Controlled document  |  Informed Consent for Care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2026-08-21T11:28:54.130Z</dcterms:created>
  <dcterms:modified xsi:type="dcterms:W3CDTF">2026-08-21T11:28:54.130Z</dcterms:modified>
</cp:coreProperties>
</file>

<file path=docProps/custom.xml><?xml version="1.0" encoding="utf-8"?>
<Properties xmlns="http://schemas.openxmlformats.org/officeDocument/2006/custom-properties" xmlns:vt="http://schemas.openxmlformats.org/officeDocument/2006/docPropsVTypes"/>
</file>