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Preview Hospital</w:t>
      </w:r>
    </w:p>
    <w:p>
      <w:pPr>
        <w:spacing w:after="60"/>
        <w:jc w:val="center"/>
      </w:pPr>
      <w:r>
        <w:rPr>
          <w:b/>
          <w:bCs/>
          <w:sz w:val="28"/>
          <w:szCs w:val="28"/>
        </w:rPr>
        <w:t xml:space="preserve">Incident Collection and Analysis</w:t>
      </w:r>
    </w:p>
    <w:p>
      <w:pPr>
        <w:spacing w:after="240"/>
        <w:jc w:val="center"/>
      </w:pPr>
      <w:r>
        <w:rPr>
          <w:i/>
          <w:iCs/>
          <w:sz w:val="20"/>
          <w:szCs w:val="20"/>
        </w:rPr>
        <w:t xml:space="preserve">HCO Full Accreditation, 6th Edition — PSQ.7.</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«HCO/PSQ/POL/07»</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Safety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Incidents are collected and analysed to ensure continual quality improvement.</w:t>
      </w:r>
    </w:p>
    <w:p>
      <w:pPr>
        <w:pStyle w:val="Heading1"/>
        <w:spacing w:after="120" w:before="280"/>
      </w:pPr>
      <w:r>
        <w:t xml:space="preserve">1. Purpose</w:t>
      </w:r>
    </w:p>
    <w:p>
      <w:pPr>
        <w:spacing w:after="140"/>
      </w:pPr>
      <w:r>
        <w:rPr>
          <w:sz w:val="22"/>
          <w:szCs w:val="22"/>
        </w:rPr>
        <w:t xml:space="preserve">This policy says how Preview Hospital meets NABH Hospitals 6th Edition standard PSQ.7: Incidents are collected and analysed to ensure continual quality improvement.</w:t>
      </w:r>
    </w:p>
    <w:p>
      <w:pPr>
        <w:spacing w:after="140"/>
      </w:pPr>
      <w:r>
        <w:rPr>
          <w:sz w:val="22"/>
          <w:szCs w:val="22"/>
        </w:rPr>
        <w:t xml:space="preserve">It covers objective elements PSQ.7.a–f (6 elements).</w:t>
      </w:r>
    </w:p>
    <w:p>
      <w:pPr>
        <w:spacing w:after="140"/>
      </w:pPr>
      <w:r>
        <w:rPr>
          <w:sz w:val="22"/>
          <w:szCs w:val="22"/>
        </w:rPr>
        <w:t xml:space="preserve">Chapter intent (official Standards PDF): The standards encourage an environment of patient safety and continual quality improvement. The patient safety and quality programme should be documented and involve all areas of the organisation and all staff members. The management creates a culture of safety in the organisation. Patient safety officer(s) shall be designated for the implementation of patient-safety programme. National / International patient-safety goals / solutions / framework shall be implemented. The organisation shall collect data on structures, processes and outcomes, especially in areas of high-risk situations. Quality indicators specific to clinical specialities shall be used to involve clinical departments in the quality improvement programme. The collected data shall be collated, analysed and trends are used for further improvement. Appropriate quality tools shall be used for carrying out quality improvement projects. Clinical audits shall be used as a tool to improve the quality of patient care in a sustained manner. Department leaders play an active role in patient safety and quality improvement. The organisation has a mechanism to capture patient reported outcome measures. The organisation shall have a robust incident reporting system. Sentinel events shall be defined. All incidents are investigated and appropriate action is taken. The management shall support the patient safety and quality programme.</w:t>
      </w:r>
    </w:p>
    <w:p>
      <w:pPr>
        <w:spacing w:after="140"/>
      </w:pPr>
      <w:r>
        <w:rPr>
          <w:sz w:val="22"/>
          <w:szCs w:val="22"/>
        </w:rPr>
        <w:t xml:space="preserve">This policy owns PSQ.7. Related AAC, COP, MOM, PRE and IPC duties stay with those policies — cross-reference only. Other PSQ standards stay with their own policies.</w:t>
      </w:r>
    </w:p>
    <w:p>
      <w:pPr>
        <w:spacing w:after="140"/>
      </w:pPr>
      <w:r>
        <w:rPr>
          <w:sz w:val="22"/>
          <w:szCs w:val="22"/>
        </w:rPr>
        <w:t xml:space="preserve">Words marked «like this» are defaults. A blank marked «________» must be filled before issue.</w:t>
      </w:r>
    </w:p>
    <w:p>
      <w:pPr>
        <w:pStyle w:val="Heading1"/>
        <w:spacing w:after="120" w:before="280"/>
      </w:pPr>
      <w:r>
        <w:t xml:space="preserve">2. Scope</w:t>
      </w:r>
    </w:p>
    <w:p>
      <w:pPr>
        <w:spacing w:after="140"/>
      </w:pPr>
      <w:r>
        <w:rPr>
          <w:sz w:val="22"/>
          <w:szCs w:val="22"/>
        </w:rPr>
        <w:t xml:space="preserve">This policy applies to staff who deliver care, run quality or patient-safety work, lead departments, or hold management duties for safety and quality at Preview Hospital, including the «Patient Safety Officer», the Patient Safety Officer, the Quality Coordinator, departmental leaders, treating doctors, nursing and the Medical Superintendent.</w:t>
      </w:r>
    </w:p>
    <w:p>
      <w:pPr>
        <w:spacing w:after="140"/>
      </w:pPr>
      <w:r>
        <w:rPr>
          <w:sz w:val="22"/>
          <w:szCs w:val="22"/>
        </w:rPr>
        <w:t xml:space="preserve">It covers 6 objective elements (PSQ.7.a, PSQ.7.b, PSQ.7.c, PSQ.7.d, PSQ.7.e, PSQ.7.f).</w:t>
      </w:r>
    </w:p>
    <w:p>
      <w:pPr>
        <w:spacing w:after="140"/>
      </w:pPr>
      <w:r>
        <w:rPr>
          <w:sz w:val="22"/>
          <w:szCs w:val="22"/>
        </w:rPr>
        <w:t xml:space="preserve">Boundaries: do not overwrite HCO AAC, COP, MOM, PRE or IPC policies. Spell out abbreviations on first use in training materials. OE counts/levels/asterisks stay with the official portal Standards PDF. Method notes come from the Guidebook Interpretation paragraphs (scanned PDF md5 2c4489ee98de4ae9b49cba168ea9f42a).</w:t>
      </w:r>
    </w:p>
    <w:p>
      <w:pPr>
        <w:pStyle w:val="Heading1"/>
        <w:spacing w:after="120" w:before="280"/>
      </w:pPr>
      <w:r>
        <w:t xml:space="preserve">3. Policy standards</w:t>
      </w:r>
    </w:p>
    <w:p>
      <w:pPr>
        <w:spacing w:after="140"/>
      </w:pPr>
      <w:r>
        <w:rPr>
          <w:sz w:val="22"/>
          <w:szCs w:val="22"/>
        </w:rPr>
        <w:t xml:space="preserve">Preview Hospital implements PSQ.7 so that incidents are collected and analysed to ensure continual quality improvement.</w:t>
      </w:r>
    </w:p>
    <w:p>
      <w:pPr>
        <w:spacing w:after="140"/>
      </w:pPr>
      <w:r>
        <w:rPr>
          <w:sz w:val="22"/>
          <w:szCs w:val="22"/>
        </w:rPr>
        <w:t xml:space="preserve">Staff follow written guidance, keep the records listed in the OE table, and escalate when stop-work triggers fire (if this policy includes a stop-work section).</w:t>
      </w:r>
    </w:p>
    <w:p>
      <w:pPr>
        <w:pStyle w:val="Heading1"/>
        <w:spacing w:after="120" w:before="280"/>
      </w:pPr>
      <w:r>
        <w:t xml:space="preserve">4. Non-negotiable rules</w:t>
      </w:r>
    </w:p>
    <w:p>
      <w:pPr>
        <w:spacing w:after="80"/>
      </w:pPr>
      <w:r>
        <w:rPr>
          <w:sz w:val="22"/>
          <w:szCs w:val="22"/>
        </w:rPr>
        <w:t xml:space="preserve">1. Do not skip: The organisation implements an incident management system.</w:t>
      </w:r>
    </w:p>
    <w:p>
      <w:pPr>
        <w:spacing w:after="80"/>
      </w:pPr>
      <w:r>
        <w:rPr>
          <w:sz w:val="22"/>
          <w:szCs w:val="22"/>
        </w:rPr>
        <w:t xml:space="preserve">2. Do not skip: The organisation has a mechanism to identify sentinel events.</w:t>
      </w:r>
    </w:p>
    <w:p>
      <w:pPr>
        <w:spacing w:after="80"/>
      </w:pPr>
      <w:r>
        <w:rPr>
          <w:sz w:val="22"/>
          <w:szCs w:val="22"/>
        </w:rPr>
        <w:t xml:space="preserve">3. Do not skip: The organisation has established processes for analysis of incidents.</w:t>
      </w:r>
    </w:p>
    <w:p>
      <w:pPr>
        <w:spacing w:after="80"/>
      </w:pPr>
      <w:r>
        <w:rPr>
          <w:sz w:val="22"/>
          <w:szCs w:val="22"/>
        </w:rPr>
        <w:t xml:space="preserve">4. Do not skip: Corrective and preventive actions are taken based on the findings of such analysis.</w:t>
      </w:r>
    </w:p>
    <w:p>
      <w:pPr>
        <w:spacing w:after="80"/>
      </w:pPr>
      <w:r>
        <w:rPr>
          <w:sz w:val="22"/>
          <w:szCs w:val="22"/>
        </w:rPr>
        <w:t xml:space="preserve">5. Do not skip: The organisation incorporates risks identified in the analysis of incidents into the risk management system.</w:t>
      </w:r>
    </w:p>
    <w:p>
      <w:pPr>
        <w:spacing w:after="80"/>
      </w:pPr>
      <w:r>
        <w:rPr>
          <w:sz w:val="22"/>
          <w:szCs w:val="22"/>
        </w:rPr>
        <w:t xml:space="preserve">6. Do not skip: The organisation shall have a process for informing various stakeholders in case of a near miss / adverse...</w:t>
      </w:r>
    </w:p>
    <w:p>
      <w:pPr>
        <w:spacing w:after="80"/>
      </w:pPr>
      <w:r>
        <w:rPr>
          <w:sz w:val="22"/>
          <w:szCs w:val="22"/>
        </w:rPr>
        <w:t xml:space="preserve">7. Do not bypass the stop-work authority in section 6 when the trigger conditions are met.</w:t>
      </w:r>
    </w:p>
    <w:p>
      <w:pPr>
        <w:spacing w:after="80"/>
      </w:pPr>
      <w:r>
        <w:rPr>
          <w:sz w:val="22"/>
          <w:szCs w:val="22"/>
        </w:rPr>
        <w:t xml:space="preserve">8. Staff who see a PSQ.7 rule broken report it the same shift to the «department in-charge» or the «Patient Safety Officer» / «Quality Coordinator».</w:t>
      </w:r>
    </w:p>
    <w:p>
      <w:pPr>
        <w:pStyle w:val="Heading1"/>
        <w:spacing w:after="120" w:before="280"/>
      </w:pPr>
      <w:r>
        <w:t xml:space="preserve">5. What we do</w:t>
      </w:r>
    </w:p>
    <w:p>
      <w:pPr>
        <w:pStyle w:val="Heading2"/>
        <w:spacing w:after="100" w:before="220"/>
      </w:pPr>
      <w:r>
        <w:t xml:space="preserve">5.1 The organisation implements an incident management system</w:t>
      </w:r>
    </w:p>
    <w:p>
      <w:pPr>
        <w:spacing w:after="140"/>
      </w:pPr>
      <w:r>
        <w:rPr>
          <w:sz w:val="22"/>
          <w:szCs w:val="22"/>
        </w:rPr>
        <w:t xml:space="preserve">Preview Hospital implements an incident management system covering identification, reporting, review and action. The system supports factual reporting and learning and is based on just culture. All incidents are captured without first filtering by severity or harm.</w:t>
      </w:r>
    </w:p>
    <w:p>
      <w:pPr>
        <w:spacing w:after="140"/>
      </w:pPr>
      <w:r>
        <w:rPr>
          <w:sz w:val="22"/>
          <w:szCs w:val="22"/>
        </w:rPr>
        <w:t xml:space="preserve">Written guidance, the reporting channel (form / digital), and who receives reports sit in the manual. The path is simple, clear, confidential and focused on process improvement. This CORE asterisked element is not met by a complaints box alone.</w:t>
      </w:r>
    </w:p>
    <w:p>
      <w:pPr>
        <w:spacing w:after="140"/>
      </w:pPr>
      <w:r>
        <w:rPr>
          <w:sz w:val="22"/>
          <w:szCs w:val="22"/>
        </w:rPr>
        <w:t xml:space="preserve">Method note (from guidebook interpretation): The incident management system includes: * identification * reporting * review * action on incidents This system supports factual reporting and learning and is based on the principle of just culture. The organisation shall have a mechanism for reporting the occurrence of incidents on standardised incident report forms. It is preferable that the reporting system is simple (a few steps), clear (what needs to be reported, how to report, and to whom), confidential, and focused on process improvement. While capturing the incidents, the organisation shall capture all incidents without going into the severity or whether harm was caused.</w:t>
      </w:r>
    </w:p>
    <w:p>
      <w:pPr>
        <w:spacing w:after="140"/>
      </w:pPr>
      <w:r>
        <w:rPr>
          <w:sz w:val="22"/>
          <w:szCs w:val="22"/>
        </w:rPr>
        <w:t xml:space="preserve">This objective element is asterisked in the official Standards PDF — documentation of the process is required.</w:t>
      </w:r>
    </w:p>
    <w:p>
      <w:pPr>
        <w:spacing w:after="140"/>
      </w:pPr>
      <w:r>
        <w:rPr>
          <w:sz w:val="22"/>
          <w:szCs w:val="22"/>
        </w:rPr>
        <w:t xml:space="preserve">This is a CORE objective element — non-compliance is not acceptable for accreditation.</w:t>
      </w:r>
    </w:p>
    <w:p>
      <w:pPr>
        <w:pStyle w:val="Heading2"/>
        <w:spacing w:after="100" w:before="220"/>
      </w:pPr>
      <w:r>
        <w:t xml:space="preserve">5.2 The organisation has a mechanism to identify sentinel events</w:t>
      </w:r>
    </w:p>
    <w:p>
      <w:pPr>
        <w:spacing w:after="140"/>
      </w:pPr>
      <w:r>
        <w:rPr>
          <w:sz w:val="22"/>
          <w:szCs w:val="22"/>
        </w:rPr>
        <w:t xml:space="preserve">The organisation has a written mechanism to identify sentinel events: definition, examples for this hospital's scope, and who must be told immediately (default: «Patient Safety Officer» and «Medical Superintendent»).</w:t>
      </w:r>
    </w:p>
    <w:p>
      <w:pPr>
        <w:spacing w:after="140"/>
      </w:pPr>
      <w:r>
        <w:rPr>
          <w:sz w:val="22"/>
          <w:szCs w:val="22"/>
        </w:rPr>
        <w:t xml:space="preserve">Recognised sentinel events are flagged in the incident system the same shift. Skipping identification or reporting is a stop-work trigger (section 6). This is an asterisked element.</w:t>
      </w:r>
    </w:p>
    <w:p>
      <w:pPr>
        <w:spacing w:after="140"/>
      </w:pPr>
      <w:r>
        <w:rPr>
          <w:sz w:val="22"/>
          <w:szCs w:val="22"/>
        </w:rPr>
        <w:t xml:space="preserve">Method note (from guidebook interpretation): The sentinel events relating to system or process deficiencies that are relevant and important to the organisation must be clearly defined. The list of the identified and relevant sentinel events shall be documented. Refer to the glossary for a definition of "sentinel events".</w:t>
      </w:r>
    </w:p>
    <w:p>
      <w:pPr>
        <w:spacing w:after="140"/>
      </w:pPr>
      <w:r>
        <w:rPr>
          <w:sz w:val="22"/>
          <w:szCs w:val="22"/>
        </w:rPr>
        <w:t xml:space="preserve">This objective element is asterisked in the official Standards PDF — documentation of the process is required.</w:t>
      </w:r>
    </w:p>
    <w:p>
      <w:pPr>
        <w:pStyle w:val="Heading2"/>
        <w:spacing w:after="100" w:before="220"/>
      </w:pPr>
      <w:r>
        <w:t xml:space="preserve">5.3 The organisation has established processes for analysis of incidents</w:t>
      </w:r>
    </w:p>
    <w:p>
      <w:pPr>
        <w:spacing w:after="140"/>
      </w:pPr>
      <w:r>
        <w:rPr>
          <w:sz w:val="22"/>
          <w:szCs w:val="22"/>
        </w:rPr>
        <w:t xml:space="preserve">Established processes analyse incidents: the «Patient Safety Committee» is responsible; root-cause analysis is preferred; inputs are sought from the units concerned.</w:t>
      </w:r>
    </w:p>
    <w:p>
      <w:pPr>
        <w:spacing w:after="140"/>
      </w:pPr>
      <w:r>
        <w:rPr>
          <w:sz w:val="22"/>
          <w:szCs w:val="22"/>
        </w:rPr>
        <w:t xml:space="preserve">The immediate response is urgent care and support for those involved — that does not wait for analysis. For sentinel events, correction (if any) is initiated within «24 working hours» of occurrence or reporting, and analysis is completed within «seven working days» of occurrence or reporting. The «Patient Safety Officer» tracks open analyses.</w:t>
      </w:r>
    </w:p>
    <w:p>
      <w:pPr>
        <w:spacing w:after="140"/>
      </w:pPr>
      <w:r>
        <w:rPr>
          <w:sz w:val="22"/>
          <w:szCs w:val="22"/>
        </w:rPr>
        <w:t xml:space="preserve">Method note (from guidebook interpretation): The safety committee (Refer to PSQ.1.a.) shall be responsible for this activity. This could preferably be done by identifying the root cause. Inputs could be sought from the units/discipline/departments concerned. Where possible, patients and other stakeholders could be included in analysing the feedback and complaint. The immediate response to a safety incident shall be to address the urgent care and support needs of those involved. This shall not await analysis. In case of sentinel events, correction if any shall be initiated within 24-working hours of occurrence or reporting. The analysis of sentinel events shall be completed within seven working days of occurrence or reporting. z.</w:t>
      </w:r>
    </w:p>
    <w:p>
      <w:pPr>
        <w:pStyle w:val="Heading2"/>
        <w:spacing w:after="100" w:before="220"/>
      </w:pPr>
      <w:r>
        <w:t xml:space="preserve">5.4 Corrective and preventive actions are taken based on the findings of...</w:t>
      </w:r>
    </w:p>
    <w:p>
      <w:pPr>
        <w:spacing w:after="140"/>
      </w:pPr>
      <w:r>
        <w:rPr>
          <w:sz w:val="22"/>
          <w:szCs w:val="22"/>
        </w:rPr>
        <w:t xml:space="preserve">Corrective and preventive actions are taken from analysis findings. Actions have owners, due dates and a later effectiveness check.</w:t>
      </w:r>
    </w:p>
    <w:p>
      <w:pPr>
        <w:spacing w:after="140"/>
      </w:pPr>
      <w:r>
        <w:rPr>
          <w:sz w:val="22"/>
          <w:szCs w:val="22"/>
        </w:rPr>
        <w:t xml:space="preserve">Findings and recommendations are communicated to the personnel concerned. Continuing a process that analysis showed caused a sentinel event, before agreed controls are in place, is a stop-work trigger (section 6) except immediate life-saving care.</w:t>
      </w:r>
    </w:p>
    <w:p>
      <w:pPr>
        <w:spacing w:after="140"/>
      </w:pPr>
      <w:r>
        <w:rPr>
          <w:sz w:val="22"/>
          <w:szCs w:val="22"/>
        </w:rPr>
        <w:t xml:space="preserve">Method note (from guidebook interpretation): The objective of this is to improve the quality of patient-care services continually. All such action shall be documented. The findings and recommendations arrived at after the analysis shall be communicated to all personnel concerned to correct the systems and processes to prevent recurrences. Any change in the policy or procedure is reflected as an amendment in the organisation’s documentation.</w:t>
      </w:r>
    </w:p>
    <w:p>
      <w:pPr>
        <w:pStyle w:val="Heading2"/>
        <w:spacing w:after="100" w:before="220"/>
      </w:pPr>
      <w:r>
        <w:t xml:space="preserve">5.5 The organisation incorporates risks identified in the analysis of...</w:t>
      </w:r>
    </w:p>
    <w:p>
      <w:pPr>
        <w:spacing w:after="140"/>
      </w:pPr>
      <w:r>
        <w:rPr>
          <w:sz w:val="22"/>
          <w:szCs w:val="22"/>
        </w:rPr>
        <w:t xml:space="preserve">Risks identified in incident analysis are incorporated into the organisation's risk-management system (risk register update, residual risk, owner).</w:t>
      </w:r>
    </w:p>
    <w:p>
      <w:pPr>
        <w:spacing w:after="140"/>
      </w:pPr>
      <w:r>
        <w:rPr>
          <w:sz w:val="22"/>
          <w:szCs w:val="22"/>
        </w:rPr>
        <w:t xml:space="preserve">The «Quality Coordinator» or risk owner files the update. A CAPA without a risk-register entry when a new or changed risk was found is incomplete under this Achievement element.</w:t>
      </w:r>
    </w:p>
    <w:p>
      <w:pPr>
        <w:spacing w:after="140"/>
      </w:pPr>
      <w:r>
        <w:rPr>
          <w:sz w:val="22"/>
          <w:szCs w:val="22"/>
        </w:rPr>
        <w:t xml:space="preserve">Method note (from guidebook interpretation): If the incident analysis reveals the presence of an unidentified risk, the same shall be subjected to risk management.</w:t>
      </w:r>
    </w:p>
    <w:p>
      <w:pPr>
        <w:pStyle w:val="Heading2"/>
        <w:spacing w:after="100" w:before="220"/>
      </w:pPr>
      <w:r>
        <w:t xml:space="preserve">5.6 The organisation shall have a process for informing various...</w:t>
      </w:r>
    </w:p>
    <w:p>
      <w:pPr>
        <w:spacing w:after="140"/>
      </w:pPr>
      <w:r>
        <w:rPr>
          <w:sz w:val="22"/>
          <w:szCs w:val="22"/>
        </w:rPr>
        <w:t xml:space="preserve">There is a written process for informing stakeholders after a near miss, adverse event or sentinel event: who is told (patient/family as the organisation defines, treating team, leadership, and external agencies when required), by whom, and within what time.</w:t>
      </w:r>
    </w:p>
    <w:p>
      <w:pPr>
        <w:spacing w:after="140"/>
      </w:pPr>
      <w:r>
        <w:rPr>
          <w:sz w:val="22"/>
          <w:szCs w:val="22"/>
        </w:rPr>
        <w:t xml:space="preserve">The «Patient Safety Officer» keeps a communication log for sentinel and defined serious events. This process sits beside, and does not replace, any statutory notification the hospital must make under other documents.</w:t>
      </w:r>
    </w:p>
    <w:p>
      <w:pPr>
        <w:spacing w:after="140"/>
      </w:pPr>
      <w:r>
        <w:rPr>
          <w:sz w:val="22"/>
          <w:szCs w:val="22"/>
        </w:rPr>
        <w:t xml:space="preserve">Method note (from guidebook interpretation): After due analysis, an incident could be termed as a near miss or adverse event or sentinel event. Based on the nature of the near miss or adverse event or sentinel event, the organisation shall inform the stakeholders (including patient and family where applicable) regarding the relevant concerns in addition to initiating the corrective and preventive action.</w:t>
      </w:r>
    </w:p>
    <w:p>
      <w:pPr>
        <w:pStyle w:val="Heading1"/>
        <w:spacing w:after="120" w:before="280"/>
      </w:pPr>
      <w:r>
        <w:t xml:space="preserve">6. Stop-work authority</w:t>
      </w:r>
    </w:p>
    <w:p>
      <w:pPr>
        <w:spacing w:after="140"/>
      </w:pPr>
      <w:r>
        <w:rPr>
          <w:sz w:val="22"/>
          <w:szCs w:val="22"/>
        </w:rPr>
        <w:t xml:space="preserve">Do not leave a sentinel event unidentified or unreported once it is recognised.</w:t>
      </w:r>
    </w:p>
    <w:p>
      <w:pPr>
        <w:spacing w:after="140"/>
      </w:pPr>
      <w:r>
        <w:rPr>
          <w:sz w:val="22"/>
          <w:szCs w:val="22"/>
        </w:rPr>
        <w:t xml:space="preserve">Do not skip the organisation's analysis of a sentinel event (or of another incident the written guidance requires to be analysed).</w:t>
      </w:r>
    </w:p>
    <w:p>
      <w:pPr>
        <w:spacing w:after="140"/>
      </w:pPr>
      <w:r>
        <w:rPr>
          <w:sz w:val="22"/>
          <w:szCs w:val="22"/>
        </w:rPr>
        <w:t xml:space="preserve">Do not continue a process that analysis has shown caused a sentinel event until the agreed corrective action is in place, except immediate life-saving care.</w:t>
      </w:r>
    </w:p>
    <w:p>
      <w:pPr>
        <w:spacing w:after="140"/>
      </w:pPr>
      <w:r>
        <w:rPr>
          <w:sz w:val="22"/>
          <w:szCs w:val="22"/>
        </w:rPr>
        <w:t xml:space="preserve">Stop-work applies to delay of identification, reporting or analysis, and to continuing the unsafe process. Immediate life-saving care continues with the best available controls and is documented.</w:t>
      </w:r>
    </w:p>
    <w:p>
      <w:pPr>
        <w:spacing w:after="140"/>
      </w:pPr>
      <w:r>
        <w:rPr>
          <w:sz w:val="22"/>
          <w:szCs w:val="22"/>
        </w:rPr>
        <w:t xml:space="preserve">The person who stops tells the «Patient Safety Officer» and the «Medical Superintendent» the same shift. Reporting a sentinel event or refusing to continue an unsafe process is not a disciplinary matter.</w:t>
      </w:r>
    </w:p>
    <w:p>
      <w:pPr>
        <w:pStyle w:val="Heading1"/>
        <w:spacing w:after="120" w:before="280"/>
      </w:pPr>
      <w:r>
        <w:t xml:space="preserve">7. Governance and responsibility</w:t>
      </w:r>
    </w:p>
    <w:p>
      <w:pPr>
        <w:spacing w:after="20" w:before="100"/>
      </w:pPr>
      <w:r>
        <w:rPr>
          <w:b/>
          <w:bCs/>
          <w:sz w:val="22"/>
          <w:szCs w:val="22"/>
        </w:rPr>
        <w:t xml:space="preserve">Medical Superintendent</w:t>
      </w:r>
    </w:p>
    <w:p>
      <w:pPr>
        <w:pStyle w:val="ListParagraph"/>
        <w:numPr>
          <w:ilvl w:val="0"/>
          <w:numId w:val="1"/>
        </w:numPr>
        <w:spacing w:after="60"/>
      </w:pPr>
      <w:r>
        <w:rPr>
          <w:sz w:val="22"/>
          <w:szCs w:val="22"/>
        </w:rPr>
        <w:t xml:space="preserve">Accountable that PSQ.7 is resourced and followed.</w:t>
      </w:r>
    </w:p>
    <w:p>
      <w:pPr>
        <w:pStyle w:val="ListParagraph"/>
        <w:numPr>
          <w:ilvl w:val="0"/>
          <w:numId w:val="1"/>
        </w:numPr>
        <w:spacing w:after="60"/>
      </w:pPr>
      <w:r>
        <w:rPr>
          <w:sz w:val="22"/>
          <w:szCs w:val="22"/>
        </w:rPr>
        <w:t xml:space="preserve">Acts on sentinel events, safety-culture failures and quality-programme gaps that reach top leadership.</w:t>
      </w:r>
    </w:p>
    <w:p>
      <w:pPr>
        <w:spacing w:after="20" w:before="100"/>
      </w:pPr>
      <w:r>
        <w:rPr>
          <w:b/>
          <w:bCs/>
          <w:sz w:val="22"/>
          <w:szCs w:val="22"/>
        </w:rPr>
        <w:t xml:space="preserve">Patient Safety Officer</w:t>
      </w:r>
    </w:p>
    <w:p>
      <w:pPr>
        <w:pStyle w:val="ListParagraph"/>
        <w:numPr>
          <w:ilvl w:val="0"/>
          <w:numId w:val="1"/>
        </w:numPr>
        <w:spacing w:after="60"/>
      </w:pPr>
      <w:r>
        <w:rPr>
          <w:sz w:val="22"/>
          <w:szCs w:val="22"/>
        </w:rPr>
        <w:t xml:space="preserve">Owns day-to-day implementation and records for this standard.</w:t>
      </w:r>
    </w:p>
    <w:p>
      <w:pPr>
        <w:spacing w:after="20" w:before="100"/>
      </w:pPr>
      <w:r>
        <w:rPr>
          <w:b/>
          <w:bCs/>
          <w:sz w:val="22"/>
          <w:szCs w:val="22"/>
        </w:rPr>
        <w:t xml:space="preserve">Patient Safety Officer</w:t>
      </w:r>
    </w:p>
    <w:p>
      <w:pPr>
        <w:pStyle w:val="ListParagraph"/>
        <w:numPr>
          <w:ilvl w:val="0"/>
          <w:numId w:val="1"/>
        </w:numPr>
        <w:spacing w:after="60"/>
      </w:pPr>
      <w:r>
        <w:rPr>
          <w:sz w:val="22"/>
          <w:szCs w:val="22"/>
        </w:rPr>
        <w:t xml:space="preserve">Coordinates the patient-safety programme and incident/sentinel-event path across standards.</w:t>
      </w:r>
    </w:p>
    <w:p>
      <w:pPr>
        <w:spacing w:after="20" w:before="100"/>
      </w:pPr>
      <w:r>
        <w:rPr>
          <w:b/>
          <w:bCs/>
          <w:sz w:val="22"/>
          <w:szCs w:val="22"/>
        </w:rPr>
        <w:t xml:space="preserve">Quality Coordinator</w:t>
      </w:r>
    </w:p>
    <w:p>
      <w:pPr>
        <w:pStyle w:val="ListParagraph"/>
        <w:numPr>
          <w:ilvl w:val="0"/>
          <w:numId w:val="1"/>
        </w:numPr>
        <w:spacing w:after="60"/>
      </w:pPr>
      <w:r>
        <w:rPr>
          <w:sz w:val="22"/>
          <w:szCs w:val="22"/>
        </w:rPr>
        <w:t xml:space="preserve">Coordinates the quality-improvement programme, indicators, audits and projects as this standard requires.</w:t>
      </w:r>
    </w:p>
    <w:p>
      <w:pPr>
        <w:pStyle w:val="ListParagraph"/>
        <w:numPr>
          <w:ilvl w:val="0"/>
          <w:numId w:val="1"/>
        </w:numPr>
        <w:spacing w:after="60"/>
      </w:pPr>
      <w:r>
        <w:rPr>
          <w:sz w:val="22"/>
          <w:szCs w:val="22"/>
        </w:rPr>
        <w:t xml:space="preserve">Audits this policy «quarterly»; holds training acknowledgements.</w:t>
      </w:r>
    </w:p>
    <w:p>
      <w:pPr>
        <w:spacing w:after="20" w:before="100"/>
      </w:pPr>
      <w:r>
        <w:rPr>
          <w:b/>
          <w:bCs/>
          <w:sz w:val="22"/>
          <w:szCs w:val="22"/>
        </w:rPr>
        <w:t xml:space="preserve">Nursing Superintendent</w:t>
      </w:r>
    </w:p>
    <w:p>
      <w:pPr>
        <w:pStyle w:val="ListParagraph"/>
        <w:numPr>
          <w:ilvl w:val="0"/>
          <w:numId w:val="1"/>
        </w:numPr>
        <w:spacing w:after="60"/>
      </w:pPr>
      <w:r>
        <w:rPr>
          <w:sz w:val="22"/>
          <w:szCs w:val="22"/>
        </w:rPr>
        <w:t xml:space="preserve">Owns nursing-care quality monitoring where this standard requires it.</w:t>
      </w:r>
    </w:p>
    <w:p>
      <w:pPr>
        <w:pStyle w:val="Heading1"/>
        <w:spacing w:after="120" w:before="280"/>
      </w:pPr>
      <w:r>
        <w:t xml:space="preserve">8. Quality monitoring (RCA → CAPA)</w:t>
      </w:r>
    </w:p>
    <w:p>
      <w:pPr>
        <w:spacing w:after="140"/>
      </w:pPr>
      <w:r>
        <w:rPr>
          <w:sz w:val="22"/>
          <w:szCs w:val="22"/>
        </w:rPr>
        <w:t xml:space="preserve">The Quality Coordinator audits this policy «quarterly». The audit reviews:</w:t>
      </w:r>
    </w:p>
    <w:p>
      <w:pPr>
        <w:pStyle w:val="ListParagraph"/>
        <w:numPr>
          <w:ilvl w:val="0"/>
          <w:numId w:val="1"/>
        </w:numPr>
        <w:spacing w:after="60"/>
      </w:pPr>
      <w:r>
        <w:rPr>
          <w:sz w:val="22"/>
          <w:szCs w:val="22"/>
        </w:rPr>
        <w:t xml:space="preserve">Records for a sample of this standard's objective elements, checked against the What-we-do steps.</w:t>
      </w:r>
    </w:p>
    <w:p>
      <w:pPr>
        <w:pStyle w:val="ListParagraph"/>
        <w:numPr>
          <w:ilvl w:val="0"/>
          <w:numId w:val="1"/>
        </w:numPr>
        <w:spacing w:after="60"/>
      </w:pPr>
      <w:r>
        <w:rPr>
          <w:sz w:val="22"/>
          <w:szCs w:val="22"/>
        </w:rPr>
        <w:t xml:space="preserve">Documentary evidence is on file for each asterisked objective element in the sample.</w:t>
      </w:r>
    </w:p>
    <w:p>
      <w:pPr>
        <w:pStyle w:val="ListParagraph"/>
        <w:numPr>
          <w:ilvl w:val="0"/>
          <w:numId w:val="1"/>
        </w:numPr>
        <w:spacing w:after="60"/>
      </w:pPr>
      <w:r>
        <w:rPr>
          <w:sz w:val="22"/>
          <w:szCs w:val="22"/>
        </w:rPr>
        <w:t xml:space="preserve">CORE objective elements show no critical gaps in the sample.</w:t>
      </w:r>
    </w:p>
    <w:p>
      <w:pPr>
        <w:pStyle w:val="ListParagraph"/>
        <w:numPr>
          <w:ilvl w:val="0"/>
          <w:numId w:val="1"/>
        </w:numPr>
        <w:spacing w:after="60"/>
      </w:pPr>
      <w:r>
        <w:rPr>
          <w:sz w:val="22"/>
          <w:szCs w:val="22"/>
        </w:rPr>
        <w:t xml:space="preserve">Stop-work events (if any) are logged with outcome.</w:t>
      </w:r>
    </w:p>
    <w:p>
      <w:pPr>
        <w:spacing w:after="140"/>
      </w:pPr>
      <w:r>
        <w:rPr>
          <w:sz w:val="22"/>
          <w:szCs w:val="22"/>
        </w:rPr>
        <w:t xml:space="preserve">Root-cause analysis is required when a gap found in this audit remains open beyond «90 days».</w:t>
      </w:r>
    </w:p>
    <w:p>
      <w:pPr>
        <w:spacing w:after="140"/>
      </w:pPr>
      <w:r>
        <w:rPr>
          <w:sz w:val="22"/>
          <w:szCs w:val="22"/>
        </w:rPr>
        <w:t xml:space="preserve">This policy is reviewed «annually», and sooner after a related sentinel event, indicator failure cluster or failed clinical-audit cycle.</w:t>
      </w:r>
    </w:p>
    <w:p>
      <w:pPr>
        <w:pStyle w:val="Heading1"/>
        <w:spacing w:after="120" w:before="280"/>
      </w:pPr>
      <w:r>
        <w:t xml:space="preserve">9. Training and staff acknowledgement</w:t>
      </w:r>
    </w:p>
    <w:p>
      <w:pPr>
        <w:spacing w:after="140"/>
      </w:pPr>
      <w:r>
        <w:rPr>
          <w:sz w:val="22"/>
          <w:szCs w:val="22"/>
        </w:rPr>
        <w:t xml:space="preserve">Staff covered by this policy are trained at induction and «once a year» after that. Training covers the What-we-do steps, non-negotiables and stop-work (if present).</w:t>
      </w:r>
    </w:p>
    <w:p>
      <w:pPr>
        <w:spacing w:after="140"/>
      </w:pPr>
      <w:r>
        <w:rPr>
          <w:sz w:val="22"/>
          <w:szCs w:val="22"/>
        </w:rPr>
        <w:t xml:space="preserve">Staff acknowledgement</w:t>
      </w:r>
    </w:p>
    <w:p>
      <w:pPr>
        <w:spacing w:after="140"/>
      </w:pPr>
      <w:r>
        <w:rPr>
          <w:sz w:val="22"/>
          <w:szCs w:val="22"/>
        </w:rPr>
        <w:t xml:space="preserve">I have read this Incident Collection and Analysis policy of Preview Hospital. I will follow the processes described.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Quality Coordinator holds signed acknowledgements with the induction record.</w:t>
      </w:r>
    </w:p>
    <w:p>
      <w:pPr>
        <w:pStyle w:val="Heading1"/>
        <w:spacing w:after="120" w:before="280"/>
      </w:pPr>
      <w:r>
        <w:t xml:space="preserve">10. References</w:t>
      </w:r>
    </w:p>
    <w:p>
      <w:pPr>
        <w:pStyle w:val="ListParagraph"/>
        <w:numPr>
          <w:ilvl w:val="0"/>
          <w:numId w:val="1"/>
        </w:numPr>
        <w:spacing w:after="60"/>
      </w:pPr>
      <w:r>
        <w:rPr>
          <w:sz w:val="22"/>
          <w:szCs w:val="22"/>
        </w:rPr>
        <w:t xml:space="preserve">National Accreditation Board for Hospitals and Healthcare Providers (NABH), Accreditation Standards for Hospitals, 6th Edition (January 2025) — Patient Safety and Quality Improvement, standard PSQ.7. Official portal PDF (OE text, counts, levels, asterisks).</w:t>
      </w:r>
    </w:p>
    <w:p>
      <w:pPr>
        <w:pStyle w:val="ListParagraph"/>
        <w:numPr>
          <w:ilvl w:val="0"/>
          <w:numId w:val="1"/>
        </w:numPr>
        <w:spacing w:after="60"/>
      </w:pPr>
      <w:r>
        <w:rPr>
          <w:sz w:val="22"/>
          <w:szCs w:val="22"/>
        </w:rPr>
        <w:t xml:space="preserve">NABH Guidebook to Accreditation Standards for Hospitals, 6th Edition — PSQ.7 interpretations (source PDF md5 2c4489ee98de4ae9b49cba168ea9f42a; OCR policies/source/hco6_psq_guidebook_ocr.txt).</w:t>
      </w:r>
    </w:p>
    <w:p>
      <w:pPr>
        <w:pStyle w:val="ListParagraph"/>
        <w:numPr>
          <w:ilvl w:val="0"/>
          <w:numId w:val="1"/>
        </w:numPr>
        <w:spacing w:after="60"/>
      </w:pPr>
      <w:r>
        <w:rPr>
          <w:sz w:val="22"/>
          <w:szCs w:val="22"/>
        </w:rPr>
        <w:t xml:space="preserve">Internal documents of Preview Hospital: Patient Safety Manual, Quality Manual, indicator definitions, clinical-audit calendar, incident and sentinel-event guidance named for PSQ.7.</w:t>
      </w:r>
    </w:p>
    <w:p>
      <w:pPr>
        <w:pStyle w:val="Heading1"/>
        <w:spacing w:after="120" w:before="280"/>
      </w:pPr>
      <w:r>
        <w:t xml:space="preserve">11. Distribution</w:t>
      </w:r>
    </w:p>
    <w:p>
      <w:pPr>
        <w:spacing w:after="140"/>
      </w:pPr>
      <w:r>
        <w:rPr>
          <w:sz w:val="22"/>
          <w:szCs w:val="22"/>
        </w:rPr>
        <w:t xml:space="preserve">Medical Superintendent; Patient Safety Officer; Quality Coordinator; Nursing Superintendent; departmental leaders; department clinical and support staff covered by PSQ.7</w:t>
      </w:r>
    </w:p>
    <w:p>
      <w:pPr>
        <w:pStyle w:val="Heading1"/>
        <w:spacing w:after="120" w:before="280"/>
      </w:pPr>
      <w:r>
        <w:t xml:space="preserve">12. Abbreviations</w:t>
      </w:r>
    </w:p>
    <w:p>
      <w:pPr>
        <w:spacing w:after="140"/>
      </w:pPr>
      <w:r>
        <w:rPr>
          <w:sz w:val="22"/>
          <w:szCs w:val="22"/>
        </w:rPr>
        <w:t xml:space="preserve">CAPA — Corrective and Preventive Action
CORE — Core objective element (NABH)
FMEA — Failure Mode and Effects Analysis
HCO — Hospital (Full Accreditation programme under NABH Hospitals 6th Edition)
IPC — Infection Prevention and Control (NABH Hospitals 6th Edition chapter)
NABH — National Accreditation Board for Hospitals and Healthcare Providers
OE — Objective Element
PDCA — Plan-Do-Check-Act
PROM — Patient-Reported Outcome Measure
PSQ — Patient Safety and Quality Improvement (NABH Hospitals 6th Edition chapter)
WHO — World Health Organization</w:t>
      </w:r>
    </w:p>
    <w:p>
      <w:pPr>
        <w:pStyle w:val="Heading1"/>
        <w:spacing w:after="120" w:before="280"/>
      </w:pPr>
      <w:r>
        <w:t xml:space="preserve">13. Traceability to NABH HCO Full Accreditation 6th Edition PSQ.7</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PSQ.7.a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implements an incident management system.</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Patient Safety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PSQ.7.b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has a mechanism to identify sentinel events.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Patient Safety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PSQ.7.c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has established processes for analysis of incidents.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Patient Safety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PSQ.7.d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Corrective and preventive actions are taken based on the findings of such analysis.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Patient Safety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PSQ.7.e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incorporates risks identified in the analysis of incidents into the risk management system.</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Patient Safety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PSQ.7.f</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shall have a process for informing various stakeholders in case of a near miss / adverse event / sentinel event.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5.6;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Patient Safety Officer</w:t>
            </w:r>
          </w:p>
        </w:tc>
      </w:tr>
    </w:tbl>
    <w:p>
      <w:pPr>
        <w:pStyle w:val="Heading1"/>
        <w:spacing w:after="120" w:before="280"/>
      </w:pPr>
      <w:r>
        <w:t xml:space="preserve">14.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PSQ.7.a — The organisation implements an incident management system.</w:t>
      </w:r>
    </w:p>
    <w:p>
      <w:pPr>
        <w:pStyle w:val="ListParagraph"/>
        <w:numPr>
          <w:ilvl w:val="0"/>
          <w:numId w:val="1"/>
        </w:numPr>
        <w:spacing w:after="60"/>
      </w:pPr>
      <w:r>
        <w:rPr>
          <w:sz w:val="22"/>
          <w:szCs w:val="22"/>
        </w:rPr>
        <w:t xml:space="preserve">Written incident-management guidance covering identification, reporting, review and action.</w:t>
      </w:r>
    </w:p>
    <w:p>
      <w:pPr>
        <w:pStyle w:val="ListParagraph"/>
        <w:numPr>
          <w:ilvl w:val="0"/>
          <w:numId w:val="1"/>
        </w:numPr>
        <w:spacing w:after="60"/>
      </w:pPr>
      <w:r>
        <w:rPr>
          <w:sz w:val="22"/>
          <w:szCs w:val="22"/>
        </w:rPr>
        <w:t xml:space="preserve">Reporting-channel record (form or digital) and recipient list.</w:t>
      </w:r>
    </w:p>
    <w:p>
      <w:pPr>
        <w:pStyle w:val="ListParagraph"/>
        <w:numPr>
          <w:ilvl w:val="0"/>
          <w:numId w:val="1"/>
        </w:numPr>
        <w:spacing w:after="60"/>
      </w:pPr>
      <w:r>
        <w:rPr>
          <w:sz w:val="22"/>
          <w:szCs w:val="22"/>
        </w:rPr>
        <w:t xml:space="preserve">Sample of captured incidents showing all severities reported, not filtered by harm level.</w:t>
      </w:r>
    </w:p>
    <w:p>
      <w:pPr>
        <w:pStyle w:val="Heading2"/>
        <w:spacing w:after="100" w:before="220"/>
      </w:pPr>
      <w:r>
        <w:t xml:space="preserve">PSQ.7.b — The organisation has a mechanism to identify sentinel events.</w:t>
      </w:r>
    </w:p>
    <w:p>
      <w:pPr>
        <w:pStyle w:val="ListParagraph"/>
        <w:numPr>
          <w:ilvl w:val="0"/>
          <w:numId w:val="1"/>
        </w:numPr>
        <w:spacing w:after="60"/>
      </w:pPr>
      <w:r>
        <w:rPr>
          <w:sz w:val="22"/>
          <w:szCs w:val="22"/>
        </w:rPr>
        <w:t xml:space="preserve">Written sentinel-event definition and hospital-specific examples.</w:t>
      </w:r>
    </w:p>
    <w:p>
      <w:pPr>
        <w:pStyle w:val="ListParagraph"/>
        <w:numPr>
          <w:ilvl w:val="0"/>
          <w:numId w:val="1"/>
        </w:numPr>
        <w:spacing w:after="60"/>
      </w:pPr>
      <w:r>
        <w:rPr>
          <w:sz w:val="22"/>
          <w:szCs w:val="22"/>
        </w:rPr>
        <w:t xml:space="preserve">Same-shift flagging record in the incident system for a recognised sentinel event.</w:t>
      </w:r>
    </w:p>
    <w:p>
      <w:pPr>
        <w:pStyle w:val="ListParagraph"/>
        <w:numPr>
          <w:ilvl w:val="0"/>
          <w:numId w:val="1"/>
        </w:numPr>
        <w:spacing w:after="60"/>
      </w:pPr>
      <w:r>
        <w:rPr>
          <w:sz w:val="22"/>
          <w:szCs w:val="22"/>
        </w:rPr>
        <w:t xml:space="preserve">Notification record to the Patient Safety Officer and Medical Superintendent.</w:t>
      </w:r>
    </w:p>
    <w:p>
      <w:pPr>
        <w:pStyle w:val="Heading2"/>
        <w:spacing w:after="100" w:before="220"/>
      </w:pPr>
      <w:r>
        <w:t xml:space="preserve">PSQ.7.c — The organisation has established processes for analysis of incidents.</w:t>
      </w:r>
    </w:p>
    <w:p>
      <w:pPr>
        <w:pStyle w:val="ListParagraph"/>
        <w:numPr>
          <w:ilvl w:val="0"/>
          <w:numId w:val="1"/>
        </w:numPr>
        <w:spacing w:after="60"/>
      </w:pPr>
      <w:r>
        <w:rPr>
          <w:sz w:val="22"/>
          <w:szCs w:val="22"/>
        </w:rPr>
        <w:t xml:space="preserve">Root-cause-analysis record for a sampled incident, led by the Patient Safety Committee.</w:t>
      </w:r>
    </w:p>
    <w:p>
      <w:pPr>
        <w:pStyle w:val="ListParagraph"/>
        <w:numPr>
          <w:ilvl w:val="0"/>
          <w:numId w:val="1"/>
        </w:numPr>
        <w:spacing w:after="60"/>
      </w:pPr>
      <w:r>
        <w:rPr>
          <w:sz w:val="22"/>
          <w:szCs w:val="22"/>
        </w:rPr>
        <w:t xml:space="preserve">Timeliness record for sentinel events — correction within 24 working hours, analysis within 7 working days.</w:t>
      </w:r>
    </w:p>
    <w:p>
      <w:pPr>
        <w:pStyle w:val="ListParagraph"/>
        <w:numPr>
          <w:ilvl w:val="0"/>
          <w:numId w:val="1"/>
        </w:numPr>
        <w:spacing w:after="60"/>
      </w:pPr>
      <w:r>
        <w:rPr>
          <w:sz w:val="22"/>
          <w:szCs w:val="22"/>
        </w:rPr>
        <w:t xml:space="preserve">Open-analysis tracking log held by the Patient Safety Officer.</w:t>
      </w:r>
    </w:p>
    <w:p>
      <w:pPr>
        <w:pStyle w:val="Heading2"/>
        <w:spacing w:after="100" w:before="220"/>
      </w:pPr>
      <w:r>
        <w:t xml:space="preserve">PSQ.7.d — Corrective and preventive actions are taken based on the findings of such analysis.</w:t>
      </w:r>
    </w:p>
    <w:p>
      <w:pPr>
        <w:pStyle w:val="ListParagraph"/>
        <w:numPr>
          <w:ilvl w:val="0"/>
          <w:numId w:val="1"/>
        </w:numPr>
        <w:spacing w:after="60"/>
      </w:pPr>
      <w:r>
        <w:rPr>
          <w:sz w:val="22"/>
          <w:szCs w:val="22"/>
        </w:rPr>
        <w:t xml:space="preserve">CAPA record with owner, due date and effectiveness check.</w:t>
      </w:r>
    </w:p>
    <w:p>
      <w:pPr>
        <w:pStyle w:val="ListParagraph"/>
        <w:numPr>
          <w:ilvl w:val="0"/>
          <w:numId w:val="1"/>
        </w:numPr>
        <w:spacing w:after="60"/>
      </w:pPr>
      <w:r>
        <w:rPr>
          <w:sz w:val="22"/>
          <w:szCs w:val="22"/>
        </w:rPr>
        <w:t xml:space="preserve">Communication record to the personnel concerned.</w:t>
      </w:r>
    </w:p>
    <w:p>
      <w:pPr>
        <w:pStyle w:val="ListParagraph"/>
        <w:numPr>
          <w:ilvl w:val="0"/>
          <w:numId w:val="1"/>
        </w:numPr>
        <w:spacing w:after="60"/>
      </w:pPr>
      <w:r>
        <w:rPr>
          <w:sz w:val="22"/>
          <w:szCs w:val="22"/>
        </w:rPr>
        <w:t xml:space="preserve">Confirmation no process continued after analysis showed it caused a sentinel event, before controls were in place.</w:t>
      </w:r>
    </w:p>
    <w:p>
      <w:pPr>
        <w:pStyle w:val="Heading2"/>
        <w:spacing w:after="100" w:before="220"/>
      </w:pPr>
      <w:r>
        <w:t xml:space="preserve">PSQ.7.e — The organisation incorporates risks identified in the analysis of incidents into the risk management system.</w:t>
      </w:r>
    </w:p>
    <w:p>
      <w:pPr>
        <w:pStyle w:val="ListParagraph"/>
        <w:numPr>
          <w:ilvl w:val="0"/>
          <w:numId w:val="1"/>
        </w:numPr>
        <w:spacing w:after="60"/>
      </w:pPr>
      <w:r>
        <w:rPr>
          <w:sz w:val="22"/>
          <w:szCs w:val="22"/>
        </w:rPr>
        <w:t xml:space="preserve">Risk-register update record from incident-analysis findings.</w:t>
      </w:r>
    </w:p>
    <w:p>
      <w:pPr>
        <w:pStyle w:val="ListParagraph"/>
        <w:numPr>
          <w:ilvl w:val="0"/>
          <w:numId w:val="1"/>
        </w:numPr>
        <w:spacing w:after="60"/>
      </w:pPr>
      <w:r>
        <w:rPr>
          <w:sz w:val="22"/>
          <w:szCs w:val="22"/>
        </w:rPr>
        <w:t xml:space="preserve">Residual-risk and owner assignment.</w:t>
      </w:r>
    </w:p>
    <w:p>
      <w:pPr>
        <w:pStyle w:val="ListParagraph"/>
        <w:numPr>
          <w:ilvl w:val="0"/>
          <w:numId w:val="1"/>
        </w:numPr>
        <w:spacing w:after="60"/>
      </w:pPr>
      <w:r>
        <w:rPr>
          <w:sz w:val="22"/>
          <w:szCs w:val="22"/>
        </w:rPr>
        <w:t xml:space="preserve">Cross-reference record between the CAPA and the risk register.</w:t>
      </w:r>
    </w:p>
    <w:p>
      <w:pPr>
        <w:pStyle w:val="Heading2"/>
        <w:spacing w:after="100" w:before="220"/>
      </w:pPr>
      <w:r>
        <w:t xml:space="preserve">PSQ.7.f — The organisation shall have a process for informing various stakeholders in case of a near miss / adverse event / sentinel event.</w:t>
      </w:r>
    </w:p>
    <w:p>
      <w:pPr>
        <w:pStyle w:val="ListParagraph"/>
        <w:numPr>
          <w:ilvl w:val="0"/>
          <w:numId w:val="1"/>
        </w:numPr>
        <w:spacing w:after="60"/>
      </w:pPr>
      <w:r>
        <w:rPr>
          <w:sz w:val="22"/>
          <w:szCs w:val="22"/>
        </w:rPr>
        <w:t xml:space="preserve">Written communication process naming who is told, by whom, and within what time for a near miss, adverse event or sentinel event.</w:t>
      </w:r>
    </w:p>
    <w:p>
      <w:pPr>
        <w:pStyle w:val="ListParagraph"/>
        <w:numPr>
          <w:ilvl w:val="0"/>
          <w:numId w:val="1"/>
        </w:numPr>
        <w:spacing w:after="60"/>
      </w:pPr>
      <w:r>
        <w:rPr>
          <w:sz w:val="22"/>
          <w:szCs w:val="22"/>
        </w:rPr>
        <w:t xml:space="preserve">Communication log for sentinel and defined serious events.</w:t>
      </w:r>
    </w:p>
    <w:p>
      <w:pPr>
        <w:pStyle w:val="ListParagraph"/>
        <w:numPr>
          <w:ilvl w:val="0"/>
          <w:numId w:val="1"/>
        </w:numPr>
        <w:spacing w:after="60"/>
      </w:pPr>
      <w:r>
        <w:rPr>
          <w:sz w:val="22"/>
          <w:szCs w:val="22"/>
        </w:rPr>
        <w:t xml:space="preserve">Confirmation the process sits beside, not in place of, any statutory notification requirement.</w:t>
      </w:r>
    </w:p>
    <w:p>
      <w:pPr>
        <w:pStyle w:val="Heading1"/>
        <w:spacing w:after="120" w:before="280"/>
      </w:pPr>
      <w:r>
        <w:t xml:space="preserve">Disclaimer</w:t>
      </w:r>
    </w:p>
    <w:p>
      <w:pPr>
        <w:spacing w:after="140"/>
      </w:pPr>
      <w:r>
        <w:rPr>
          <w:sz w:val="22"/>
          <w:szCs w:val="22"/>
        </w:rPr>
        <w:t xml:space="preserve">This document is a template prepared for the guidance of Preview Hospital and must be reviewed, adapted and formally approved by Preview Hospital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Full Accreditation Standards for Hospitals, 6th Edition, not duties under a named Act of Parliament. This policy does not import the Consumer Protection Act, 2019, the Clinical Establishments Act, 2010, or the Mental Healthcare Act, 2017 as a checklist. Statutory duties that arise under other documents of Preview Hospital remain those documents. Preview Hospital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Preview Hospital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Preview Hospital  |  «HCO/PSQ/POL/07»  |  Controlled document  |  Incident Collection and Analysis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2026-08-21T11:29:14.264Z</dcterms:created>
  <dcterms:modified xsi:type="dcterms:W3CDTF">2026-08-21T11:29:14.265Z</dcterms:modified>
</cp:coreProperties>
</file>

<file path=docProps/custom.xml><?xml version="1.0" encoding="utf-8"?>
<Properties xmlns="http://schemas.openxmlformats.org/officeDocument/2006/custom-properties" xmlns:vt="http://schemas.openxmlformats.org/officeDocument/2006/docPropsVTypes"/>
</file>