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Sustainability, Social Responsibility and Staff Well-being</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HCO/ROM/POL/03</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Medical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is a responsible organisation. It runs a written sustainability programme, takes practical steps to reduce its environmental impact, meets its obligations to the community, looks after its staff’s well-being, and monitors its financial position. These are active commitments with records and regular review — not statements of aspiration.</w:t>
      </w:r>
    </w:p>
    <w:p>
      <w:pPr>
        <w:pStyle w:val="Heading1"/>
      </w:pPr>
      <w:r>
        <w:t>1. Purpose</w:t>
      </w:r>
    </w:p>
    <w:p>
      <w:pPr/>
      <w:r>
        <w:t>This policy explains how «Hospital Name» manages its environmental, social and governance (ESG) sustainability programme; acts to become a more energy-efficient and environmentally friendly hospital; fulfils its social responsibility to the community it serves; promotes the well-being of its staff; applies sustainability criteria in procurement; encourages staff to use common or public transport; and ensures its long-term financial sustainability.</w:t>
      </w:r>
    </w:p>
    <w:p>
      <w:pPr/>
      <w:r>
        <w:t>This policy does not cover patient assessment, clinical care, medication management, patient rights, infection control, or quality and safety monitoring — those are covered in other hospital policies. The other Responsibilities of Management standards have their own policies too.</w:t>
      </w:r>
    </w:p>
    <w:p>
      <w:pPr>
        <w:pStyle w:val="Heading1"/>
      </w:pPr>
      <w:r>
        <w:t>2. Scope</w:t>
      </w:r>
    </w:p>
    <w:p>
      <w:pPr/>
      <w:r>
        <w:t>This policy applies to those responsible for governance (as identified under ROM.1), the Medical Superintendent, departmental leaders, the Quality Coordinator, and all staff at «Hospital Name» whose roles involve sustainability programmes, procurement, staff welfare, or financial planning and review.</w:t>
      </w:r>
    </w:p>
    <w:p>
      <w:pPr>
        <w:pStyle w:val="Heading1"/>
      </w:pPr>
      <w:r>
        <w:t>3. Policy standards</w:t>
      </w:r>
    </w:p>
    <w:p>
      <w:pPr/>
      <w:r>
        <w:t>«Hospital Name» maintains a documented ESG sustainability programme, takes active steps to reduce its environmental footprint, meets its social-responsibility obligations, supports the well-being of its staff, applies sustainability criteria when procuring goods and services, encourages environmentally responsible commuting, and reviews its financial sustainability regularly.</w:t>
      </w:r>
    </w:p>
    <w:p>
      <w:pPr/>
      <w:r>
        <w:t>Staff follow the written guidance below, keep the records it requires, and raise concerns through the channels it describes.</w:t>
      </w:r>
    </w:p>
    <w:p>
      <w:pPr>
        <w:pStyle w:val="Heading1"/>
      </w:pPr>
      <w:r>
        <w:t>4. Non-negotiable rules</w:t>
      </w:r>
    </w:p>
    <w:p>
      <w:pPr>
        <w:pStyle w:val="ListNumber"/>
      </w:pPr>
      <w:r>
        <w:t>The sustainability programme must be written — a verbal commitment or a meeting agenda item is not enough.</w:t>
      </w:r>
    </w:p>
    <w:p>
      <w:pPr>
        <w:pStyle w:val="ListNumber"/>
      </w:pPr>
      <w:r>
        <w:t>Do not leave energy-efficiency and environmental initiatives undocumented — record what was done, when it was done, and what result it achieved.</w:t>
      </w:r>
    </w:p>
    <w:p>
      <w:pPr>
        <w:pStyle w:val="ListNumber"/>
      </w:pPr>
      <w:r>
        <w:t>Do not treat social responsibility as fulfilled by a policy statement alone — the programme must be implemented and its activity must be documented.</w:t>
      </w:r>
    </w:p>
    <w:p>
      <w:pPr>
        <w:pStyle w:val="ListNumber"/>
      </w:pPr>
      <w:r>
        <w:t>Do not leave staff without accessible facilities and a working channel for raising workload concerns — these must be in place, not just promised.</w:t>
      </w:r>
    </w:p>
    <w:p>
      <w:pPr>
        <w:pStyle w:val="ListNumber"/>
      </w:pPr>
      <w:r>
        <w:t>Do not encourage staff to use public or common transport without a record showing the encouragement was actually communicated to them.</w:t>
      </w:r>
    </w:p>
    <w:p>
      <w:pPr>
        <w:pStyle w:val="ListNumber"/>
      </w:pPr>
      <w:r>
        <w:t>Do not treat financial sustainability as a declaration — the hospital must have a working process for reviewing how it balances resource allocation, costs and revenue, and must act on what it finds.</w:t>
      </w:r>
    </w:p>
    <w:p>
      <w:pPr>
        <w:pStyle w:val="ListNumber"/>
      </w:pPr>
      <w:r>
        <w:t>Staff who see any of these rules broken report it the same shift to the department in-charge or the Medical Superintendent.</w:t>
      </w:r>
    </w:p>
    <w:p>
      <w:pPr>
        <w:pStyle w:val="Heading1"/>
      </w:pPr>
      <w:r>
        <w:t>5. What we do</w:t>
      </w:r>
    </w:p>
    <w:p>
      <w:pPr>
        <w:pStyle w:val="Heading2"/>
      </w:pPr>
      <w:r>
        <w:t>5.1 Address the ESG sustainability programme</w:t>
      </w:r>
    </w:p>
    <w:p>
      <w:pPr/>
      <w:r>
        <w:t>Those responsible for governance maintain a written ESG sustainability programme for «Hospital Name». The programme is a written document, reviewed at least annually and tabled at a governance meeting.</w:t>
      </w:r>
    </w:p>
    <w:p>
      <w:pPr/>
      <w:r>
        <w:t>The Guidebook defines the three dimensions of the programme. Environmental sustainability covers energy usage and efficiency, climate change strategy, waste reduction, biodiversity loss, and greenhouse gas emissions. Social sustainability covers fair pay, equal employment opportunity, employee benefits, workplace health and safety, community engagement, and responsible supply-chain partnerships. Governance sustainability covers corporate governance, risk management, compliance, ethical business practices, and accounting integrity.</w:t>
      </w:r>
    </w:p>
    <w:p>
      <w:pPr/>
      <w:r>
        <w:t>A slogan or a PowerPoint is not this programme. It is a document.</w:t>
      </w:r>
    </w:p>
    <w:p>
      <w:pPr>
        <w:pStyle w:val="Heading2"/>
      </w:pPr>
      <w:r>
        <w:t>5.2 Take initiatives toward an energy-efficient and environmentally friendly hospital</w:t>
      </w:r>
    </w:p>
    <w:p>
      <w:pPr/>
      <w:r>
        <w:t>«Hospital Name» focuses on the efficient and sustainable use of energy, water and other utilities. It takes active measures to create awareness among staff and patients about saving electricity and water.</w:t>
      </w:r>
    </w:p>
    <w:p>
      <w:pPr/>
      <w:r>
        <w:t>The hospital documents its initiatives — what was done, when it started, and what was achieved. Initiatives may include energy-efficient lighting, rainwater harvesting, solar or wind energy, battery-operated or electric vehicles, reuse of treated water for gardening or flushing, reducing plastic use, and green building materials — these are examples, not a mandatory checklist. The hospital records the ones it has taken and the results.</w:t>
      </w:r>
    </w:p>
    <w:p>
      <w:pPr>
        <w:pStyle w:val="Heading2"/>
      </w:pPr>
      <w:r>
        <w:t>5.3 Address social responsibility</w:t>
      </w:r>
    </w:p>
    <w:p>
      <w:pPr/>
      <w:r>
        <w:t>Those responsible for governance and the leadership develop and implement a written social-responsibility programme. The programme is documented, and activity against it is reported at least annually.</w:t>
      </w:r>
    </w:p>
    <w:p>
      <w:pPr/>
      <w:r>
        <w:t>The programme addresses the hospital’s obligations to the community it serves. Examples include free health camps and outreach programmes. At a minimum, the hospital meets all applicable regulatory requirements, including those relating to corporate social responsibility.</w:t>
      </w:r>
    </w:p>
    <w:p>
      <w:pPr>
        <w:pStyle w:val="Heading2"/>
      </w:pPr>
      <w:r>
        <w:t>5.4 Promote staff well-being</w:t>
      </w:r>
    </w:p>
    <w:p>
      <w:pPr/>
      <w:r>
        <w:t>«Hospital Name» takes proactive steps to promote the well-being of its staff. The hospital defines work hours, monitors workload, provides scheduled breaks, and maintains accessible facilities where staff can seek support and advice when they need it.</w:t>
      </w:r>
    </w:p>
    <w:p>
      <w:pPr/>
      <w:r>
        <w:t>Examples of well-being measures include healthy lifestyle programmes, stress management support, access to dining facilities, recognition schemes, and staff engagement activities — the hospital uses the ones that fit its context. Monitoring absenteeism or overtime can help identify stress and fatigue as a management tool, as can staff satisfaction surveys; these are options, not requirements. What is required is that the support facilities and the workload-concerns channel are in place and working.</w:t>
      </w:r>
    </w:p>
    <w:p>
      <w:pPr>
        <w:pStyle w:val="Heading2"/>
      </w:pPr>
      <w:r>
        <w:t>5.5 Follow sustainable procurement practices</w:t>
      </w:r>
    </w:p>
    <w:p>
      <w:pPr/>
      <w:r>
        <w:t>«Hospital Name» applies environmental and social criteria when evaluating tenders and selecting suppliers. The hospital’s purchase policy names those criteria. Completed procurement files show that the criteria were applied when a purchase was made.</w:t>
      </w:r>
    </w:p>
    <w:p>
      <w:pPr/>
      <w:r>
        <w:t>Working with suppliers to prioritise environmentally friendly and socially responsible products is one approach the hospital may use — the purchase policy specifies how.</w:t>
      </w:r>
    </w:p>
    <w:p>
      <w:pPr>
        <w:pStyle w:val="Heading2"/>
      </w:pPr>
      <w:r>
        <w:t>5.6 Encourage staff to use common or public transport</w:t>
      </w:r>
    </w:p>
    <w:p>
      <w:pPr/>
      <w:r>
        <w:t>«Hospital Name» actively encourages employees to use common or public transport to reduce the environmental impact of commuting. That encouragement is documented and communicated to staff.</w:t>
      </w:r>
    </w:p>
    <w:p>
      <w:pPr/>
      <w:r>
        <w:t>Examples of encouragement include providing information about carpooling, cycling and public transport options, and any incentive scheme the hospital chooses to operate. The obligation is on the hospital to encourage and to show that the message reached staff — it is not a requirement that every individual must commute by public transport. Environmentally friendly logistics and transport management within the hospital can further contribute to sustainability.</w:t>
      </w:r>
    </w:p>
    <w:p>
      <w:pPr>
        <w:pStyle w:val="Heading2"/>
      </w:pPr>
      <w:r>
        <w:t>5.7 Ensure financial sustainability</w:t>
      </w:r>
    </w:p>
    <w:p>
      <w:pPr/>
      <w:r>
        <w:t>«Hospital Name» ensures financial sustainability by actively balancing the financial aspects of healthcare delivery — efficient resource allocation, cost management and revenue generation. The hospital has a defined process for reviewing whether this balance is being maintained, and it acts on the findings.</w:t>
      </w:r>
    </w:p>
    <w:p>
      <w:pPr/>
      <w:r>
        <w:t>The Guidebook notes that this balance is crucial for long-term sustainability. The specific form the review takes is for the hospital to define; the obligation is that it happens.</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properly resourced.</w:t>
            </w:r>
          </w:p>
        </w:tc>
      </w:tr>
      <w:tr>
        <w:tc>
          <w:tcPr>
            <w:tcW w:type="dxa" w:w="4320"/>
          </w:tcPr>
          <w:p>
            <w:r>
              <w:t>Medical Superintendent</w:t>
            </w:r>
          </w:p>
        </w:tc>
        <w:tc>
          <w:tcPr>
            <w:tcW w:type="dxa" w:w="4320"/>
          </w:tcPr>
          <w:p>
            <w:r>
              <w:t>Owns the day-to-day records and implementation for this policy.</w:t>
            </w:r>
          </w:p>
        </w:tc>
      </w:tr>
      <w:tr>
        <w:tc>
          <w:tcPr>
            <w:tcW w:type="dxa" w:w="4320"/>
          </w:tcPr>
          <w:p>
            <w:r>
              <w:t>Those responsible for governance</w:t>
            </w:r>
          </w:p>
        </w:tc>
        <w:tc>
          <w:tcPr>
            <w:tcW w:type="dxa" w:w="4320"/>
          </w:tcPr>
          <w:p>
            <w:r>
              <w:t>Ensure the ESG programme, social-responsibility programme and financial-sustainability review are produced, tabled and acted upon.</w:t>
            </w:r>
          </w:p>
        </w:tc>
      </w:tr>
      <w:tr>
        <w:tc>
          <w:tcPr>
            <w:tcW w:type="dxa" w:w="4320"/>
          </w:tcPr>
          <w:p>
            <w:r>
              <w:t>Quality Coordinator</w:t>
            </w:r>
          </w:p>
        </w:tc>
        <w:tc>
          <w:tcPr>
            <w:tcW w:type="dxa" w:w="4320"/>
          </w:tcPr>
          <w:p>
            <w:r>
              <w:t>Audits this policy every quarter; keeps training records; supports governance packs and committee reviews this policy requires.</w:t>
            </w:r>
          </w:p>
        </w:tc>
      </w:tr>
      <w:tr>
        <w:tc>
          <w:tcPr>
            <w:tcW w:type="dxa" w:w="4320"/>
          </w:tcPr>
          <w:p>
            <w:r>
              <w:t>Departmental leaders</w:t>
            </w:r>
          </w:p>
        </w:tc>
        <w:tc>
          <w:tcPr>
            <w:tcW w:type="dxa" w:w="4320"/>
          </w:tcPr>
          <w:p>
            <w:r>
              <w:t>Carry out the department-level duties this policy names.</w:t>
            </w:r>
          </w:p>
        </w:tc>
      </w:tr>
    </w:tbl>
    <w:p>
      <w:pPr>
        <w:pStyle w:val="Heading1"/>
      </w:pPr>
      <w:r>
        <w:t>7. Quality monitoring</w:t>
      </w:r>
    </w:p>
    <w:p>
      <w:pPr/>
      <w:r>
        <w:t>The Quality Coordinator audits this policy every quarter, checking a sample of records against each of the What-we-do steps.</w:t>
      </w:r>
    </w:p>
    <w:p>
      <w:pPr/>
      <w:r>
        <w:t>Documentary evidence is on file for each asterisked objective element (marked * in the Level column of Section 11).</w:t>
      </w:r>
    </w:p>
    <w:p>
      <w:pPr/>
      <w:r>
        <w:t>If an audit finds a gap that is still open after 90 days, the hospital carries out a root-cause analysis and records the findings and corrective actions.</w:t>
      </w:r>
    </w:p>
    <w:p>
      <w:pPr/>
      <w:r>
        <w:t>This policy is reviewed every year, and sooner if the ESG programme, social-responsibility commitments, or the hospital’s financial position change significantly.</w:t>
      </w:r>
    </w:p>
    <w:p>
      <w:pPr>
        <w:pStyle w:val="Heading1"/>
      </w:pPr>
      <w:r>
        <w:t>8. Training and staff acknowledgement</w:t>
      </w:r>
    </w:p>
    <w:p>
      <w:pPr/>
      <w:r>
        <w:t>Staff covered by this policy are trained when they join, and again every year after that. Training covers the What-we-do steps and the non-negotiable rules.</w:t>
      </w:r>
    </w:p>
    <w:p>
      <w:pPr/>
      <w:r>
        <w:t>I have read the Policy on Sustainability, Social Responsibility and Staff Well-being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9. Distribution</w:t>
      </w:r>
    </w:p>
    <w:p>
      <w:pPr/>
      <w:r>
        <w:t>Medical Superintendent; those responsible for governance; Quality Coordinator; departmental leaders; staff covered by ROM.3</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ESG</w:t>
            </w:r>
          </w:p>
        </w:tc>
        <w:tc>
          <w:tcPr>
            <w:tcW w:type="dxa" w:w="4320"/>
          </w:tcPr>
          <w:p>
            <w:r>
              <w:t>Environment, Social and Governance</w:t>
            </w:r>
          </w:p>
        </w:tc>
      </w:tr>
      <w:tr>
        <w:tc>
          <w:tcPr>
            <w:tcW w:type="dxa" w:w="4320"/>
          </w:tcPr>
          <w:p>
            <w:r>
              <w:t>HCO</w:t>
            </w:r>
          </w:p>
        </w:tc>
        <w:tc>
          <w:tcPr>
            <w:tcW w:type="dxa" w:w="4320"/>
          </w:tcPr>
          <w:p>
            <w:r>
              <w:t>Hospital (Full Accreditation programme under NABH Hospitals 6th Edition)</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ROM</w:t>
            </w:r>
          </w:p>
        </w:tc>
        <w:tc>
          <w:tcPr>
            <w:tcW w:type="dxa" w:w="4320"/>
          </w:tcPr>
          <w:p>
            <w:r>
              <w:t>Responsibilities of Management (NABH Hospitals 6th Edition chapter)</w:t>
            </w:r>
          </w:p>
        </w:tc>
      </w:tr>
    </w:tbl>
    <w:p>
      <w:pPr>
        <w:pStyle w:val="Heading1"/>
      </w:pPr>
      <w:r>
        <w:t>11. Traceability to NABH HCO Full Accreditation 6th Edition ROM.3</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ROM.3.a</w:t>
            </w:r>
          </w:p>
        </w:tc>
        <w:tc>
          <w:tcPr>
            <w:tcW w:type="dxa" w:w="1728"/>
          </w:tcPr>
          <w:p>
            <w:r>
              <w:t>Commitment</w:t>
            </w:r>
          </w:p>
        </w:tc>
        <w:tc>
          <w:tcPr>
            <w:tcW w:type="dxa" w:w="1728"/>
          </w:tcPr>
          <w:p>
            <w:r>
              <w:t>Those responsible for governance address the organisation’s sustainability programme in terms of Environment Social and Governance (ESG) responsibility.</w:t>
            </w:r>
          </w:p>
        </w:tc>
        <w:tc>
          <w:tcPr>
            <w:tcW w:type="dxa" w:w="1728"/>
          </w:tcPr>
          <w:p>
            <w:r>
              <w:t>Section 3; 5.1</w:t>
            </w:r>
          </w:p>
        </w:tc>
        <w:tc>
          <w:tcPr>
            <w:tcW w:type="dxa" w:w="1728"/>
          </w:tcPr>
          <w:p>
            <w:r>
              <w:t>Medical Superintendent</w:t>
            </w:r>
          </w:p>
        </w:tc>
      </w:tr>
      <w:tr>
        <w:tc>
          <w:tcPr>
            <w:tcW w:type="dxa" w:w="1728"/>
          </w:tcPr>
          <w:p>
            <w:r>
              <w:t>ROM.3.b</w:t>
            </w:r>
          </w:p>
        </w:tc>
        <w:tc>
          <w:tcPr>
            <w:tcW w:type="dxa" w:w="1728"/>
          </w:tcPr>
          <w:p>
            <w:r>
              <w:t>Commitment*</w:t>
            </w:r>
          </w:p>
        </w:tc>
        <w:tc>
          <w:tcPr>
            <w:tcW w:type="dxa" w:w="1728"/>
          </w:tcPr>
          <w:p>
            <w:r>
              <w:t>The organisation takes initiatives towards an energy-efficient and environmentally friendly hospital.</w:t>
            </w:r>
          </w:p>
        </w:tc>
        <w:tc>
          <w:tcPr>
            <w:tcW w:type="dxa" w:w="1728"/>
          </w:tcPr>
          <w:p>
            <w:r>
              <w:t>Section 3; 5.2</w:t>
            </w:r>
          </w:p>
        </w:tc>
        <w:tc>
          <w:tcPr>
            <w:tcW w:type="dxa" w:w="1728"/>
          </w:tcPr>
          <w:p>
            <w:r>
              <w:t>Medical Superintendent</w:t>
            </w:r>
          </w:p>
        </w:tc>
      </w:tr>
      <w:tr>
        <w:tc>
          <w:tcPr>
            <w:tcW w:type="dxa" w:w="1728"/>
          </w:tcPr>
          <w:p>
            <w:r>
              <w:t>ROM.3.c</w:t>
            </w:r>
          </w:p>
        </w:tc>
        <w:tc>
          <w:tcPr>
            <w:tcW w:type="dxa" w:w="1728"/>
          </w:tcPr>
          <w:p>
            <w:r>
              <w:t>Commitment</w:t>
            </w:r>
          </w:p>
        </w:tc>
        <w:tc>
          <w:tcPr>
            <w:tcW w:type="dxa" w:w="1728"/>
          </w:tcPr>
          <w:p>
            <w:r>
              <w:t>Those responsible for governance address the organisations social responsibility.</w:t>
            </w:r>
          </w:p>
        </w:tc>
        <w:tc>
          <w:tcPr>
            <w:tcW w:type="dxa" w:w="1728"/>
          </w:tcPr>
          <w:p>
            <w:r>
              <w:t>Section 3; 5.3</w:t>
            </w:r>
          </w:p>
        </w:tc>
        <w:tc>
          <w:tcPr>
            <w:tcW w:type="dxa" w:w="1728"/>
          </w:tcPr>
          <w:p>
            <w:r>
              <w:t>Medical Superintendent</w:t>
            </w:r>
          </w:p>
        </w:tc>
      </w:tr>
      <w:tr>
        <w:tc>
          <w:tcPr>
            <w:tcW w:type="dxa" w:w="1728"/>
          </w:tcPr>
          <w:p>
            <w:r>
              <w:t>ROM.3.d</w:t>
            </w:r>
          </w:p>
        </w:tc>
        <w:tc>
          <w:tcPr>
            <w:tcW w:type="dxa" w:w="1728"/>
          </w:tcPr>
          <w:p>
            <w:r>
              <w:t>Commitment</w:t>
            </w:r>
          </w:p>
        </w:tc>
        <w:tc>
          <w:tcPr>
            <w:tcW w:type="dxa" w:w="1728"/>
          </w:tcPr>
          <w:p>
            <w:r>
              <w:t>Staff well-being is promoted.</w:t>
            </w:r>
          </w:p>
        </w:tc>
        <w:tc>
          <w:tcPr>
            <w:tcW w:type="dxa" w:w="1728"/>
          </w:tcPr>
          <w:p>
            <w:r>
              <w:t>Section 3; 5.4</w:t>
            </w:r>
          </w:p>
        </w:tc>
        <w:tc>
          <w:tcPr>
            <w:tcW w:type="dxa" w:w="1728"/>
          </w:tcPr>
          <w:p>
            <w:r>
              <w:t>Medical Superintendent</w:t>
            </w:r>
          </w:p>
        </w:tc>
      </w:tr>
      <w:tr>
        <w:tc>
          <w:tcPr>
            <w:tcW w:type="dxa" w:w="1728"/>
          </w:tcPr>
          <w:p>
            <w:r>
              <w:t>ROM.3.e</w:t>
            </w:r>
          </w:p>
        </w:tc>
        <w:tc>
          <w:tcPr>
            <w:tcW w:type="dxa" w:w="1728"/>
          </w:tcPr>
          <w:p>
            <w:r>
              <w:t>Excellence</w:t>
            </w:r>
          </w:p>
        </w:tc>
        <w:tc>
          <w:tcPr>
            <w:tcW w:type="dxa" w:w="1728"/>
          </w:tcPr>
          <w:p>
            <w:r>
              <w:t>The organisation follows sustainable procurement practices.</w:t>
            </w:r>
          </w:p>
        </w:tc>
        <w:tc>
          <w:tcPr>
            <w:tcW w:type="dxa" w:w="1728"/>
          </w:tcPr>
          <w:p>
            <w:r>
              <w:t>Section 3; 5.5</w:t>
            </w:r>
          </w:p>
        </w:tc>
        <w:tc>
          <w:tcPr>
            <w:tcW w:type="dxa" w:w="1728"/>
          </w:tcPr>
          <w:p>
            <w:r>
              <w:t>Medical Superintendent</w:t>
            </w:r>
          </w:p>
        </w:tc>
      </w:tr>
      <w:tr>
        <w:tc>
          <w:tcPr>
            <w:tcW w:type="dxa" w:w="1728"/>
          </w:tcPr>
          <w:p>
            <w:r>
              <w:t>ROM.3.f</w:t>
            </w:r>
          </w:p>
        </w:tc>
        <w:tc>
          <w:tcPr>
            <w:tcW w:type="dxa" w:w="1728"/>
          </w:tcPr>
          <w:p>
            <w:r>
              <w:t>Achievement</w:t>
            </w:r>
          </w:p>
        </w:tc>
        <w:tc>
          <w:tcPr>
            <w:tcW w:type="dxa" w:w="1728"/>
          </w:tcPr>
          <w:p>
            <w:r>
              <w:t>Hospitals shall encourage employees to use common / public transportation to reduce the environmental impact of commuting and carbon footprint.</w:t>
            </w:r>
          </w:p>
        </w:tc>
        <w:tc>
          <w:tcPr>
            <w:tcW w:type="dxa" w:w="1728"/>
          </w:tcPr>
          <w:p>
            <w:r>
              <w:t>Section 3; 5.6</w:t>
            </w:r>
          </w:p>
        </w:tc>
        <w:tc>
          <w:tcPr>
            <w:tcW w:type="dxa" w:w="1728"/>
          </w:tcPr>
          <w:p>
            <w:r>
              <w:t>Medical Superintendent</w:t>
            </w:r>
          </w:p>
        </w:tc>
      </w:tr>
      <w:tr>
        <w:tc>
          <w:tcPr>
            <w:tcW w:type="dxa" w:w="1728"/>
          </w:tcPr>
          <w:p>
            <w:r>
              <w:t>ROM.3.g</w:t>
            </w:r>
          </w:p>
        </w:tc>
        <w:tc>
          <w:tcPr>
            <w:tcW w:type="dxa" w:w="1728"/>
          </w:tcPr>
          <w:p>
            <w:r>
              <w:t>Achievement</w:t>
            </w:r>
          </w:p>
        </w:tc>
        <w:tc>
          <w:tcPr>
            <w:tcW w:type="dxa" w:w="1728"/>
          </w:tcPr>
          <w:p>
            <w:r>
              <w:t>The organisation ensures financial sustainability of the hospital by balancing the financial aspects of healthcare delivery.</w:t>
            </w:r>
          </w:p>
        </w:tc>
        <w:tc>
          <w:tcPr>
            <w:tcW w:type="dxa" w:w="1728"/>
          </w:tcPr>
          <w:p>
            <w:r>
              <w:t>Section 3; 5.7</w:t>
            </w:r>
          </w:p>
        </w:tc>
        <w:tc>
          <w:tcPr>
            <w:tcW w:type="dxa" w:w="1728"/>
          </w:tcPr>
          <w:p>
            <w:r>
              <w:t>Medical Superintendent</w:t>
            </w:r>
          </w:p>
        </w:tc>
      </w:tr>
    </w:tbl>
    <w:p>
      <w:pPr>
        <w:pStyle w:val="Heading1"/>
      </w:pPr>
      <w:r>
        <w:t>12. Required Records / Evidence Checklist</w:t>
      </w:r>
    </w:p>
    <w:p>
      <w:pPr/>
      <w:r>
        <w:t>Records the hospital holds under this policy, listed by objective element.</w:t>
      </w:r>
    </w:p>
    <w:p>
      <w:pPr>
        <w:pStyle w:val="Heading2"/>
      </w:pPr>
      <w:r>
        <w:t>ROM.3.a — Sustainability programme (ESG)</w:t>
      </w:r>
    </w:p>
    <w:p>
      <w:pPr>
        <w:pStyle w:val="ListBullet"/>
      </w:pPr>
      <w:r>
        <w:t>Written ESG sustainability programme.</w:t>
      </w:r>
    </w:p>
    <w:p>
      <w:pPr>
        <w:pStyle w:val="ListBullet"/>
      </w:pPr>
      <w:r>
        <w:t>Governance-meeting agenda or minutes tabling the programme.</w:t>
      </w:r>
    </w:p>
    <w:p>
      <w:pPr>
        <w:pStyle w:val="ListBullet"/>
      </w:pPr>
      <w:r>
        <w:t>Annual review record of the programme.</w:t>
      </w:r>
    </w:p>
    <w:p>
      <w:pPr>
        <w:pStyle w:val="Heading2"/>
      </w:pPr>
      <w:r>
        <w:t>ROM.3.b — Energy-efficiency and environmental initiatives</w:t>
      </w:r>
    </w:p>
    <w:p>
      <w:pPr>
        <w:pStyle w:val="ListBullet"/>
      </w:pPr>
      <w:r>
        <w:t>Dated log of energy-efficiency and environmental initiatives and their results.</w:t>
      </w:r>
    </w:p>
    <w:p>
      <w:pPr>
        <w:pStyle w:val="ListBullet"/>
      </w:pPr>
      <w:r>
        <w:t>Cross-reference to the engineering file (facility-management controls and this initiative record are held separately).</w:t>
      </w:r>
    </w:p>
    <w:p>
      <w:pPr>
        <w:pStyle w:val="ListBullet"/>
      </w:pPr>
      <w:r>
        <w:t>Before/after data or savings evidence where available.</w:t>
      </w:r>
    </w:p>
    <w:p>
      <w:pPr>
        <w:pStyle w:val="Heading2"/>
      </w:pPr>
      <w:r>
        <w:t>ROM.3.c — Social responsibility</w:t>
      </w:r>
    </w:p>
    <w:p>
      <w:pPr>
        <w:pStyle w:val="ListBullet"/>
      </w:pPr>
      <w:r>
        <w:t>Documented social-responsibility programme (community access, charity care, local health initiatives as the hospital defines).</w:t>
      </w:r>
    </w:p>
    <w:p>
      <w:pPr>
        <w:pStyle w:val="ListBullet"/>
      </w:pPr>
      <w:r>
        <w:t>Annual activity report for the programme.</w:t>
      </w:r>
    </w:p>
    <w:p>
      <w:pPr>
        <w:pStyle w:val="Heading2"/>
      </w:pPr>
      <w:r>
        <w:t>ROM.3.d — Staff well-being</w:t>
      </w:r>
    </w:p>
    <w:p>
      <w:pPr>
        <w:pStyle w:val="ListBullet"/>
      </w:pPr>
      <w:r>
        <w:t>Documented work-hour monitoring method for staff.</w:t>
      </w:r>
    </w:p>
    <w:p>
      <w:pPr>
        <w:pStyle w:val="ListBullet"/>
      </w:pPr>
      <w:r>
        <w:t>Record of healthy-lifestyle support and scheduled-break arrangements.</w:t>
      </w:r>
    </w:p>
    <w:p>
      <w:pPr>
        <w:pStyle w:val="ListBullet"/>
      </w:pPr>
      <w:r>
        <w:t>Record of the channel for raising workload concerns and any concerns logged through it.</w:t>
      </w:r>
    </w:p>
    <w:p>
      <w:pPr>
        <w:pStyle w:val="Heading2"/>
      </w:pPr>
      <w:r>
        <w:t>ROM.3.e — Sustainable procurement</w:t>
      </w:r>
    </w:p>
    <w:p>
      <w:pPr>
        <w:pStyle w:val="ListBullet"/>
      </w:pPr>
      <w:r>
        <w:t>Purchase policy naming environmental and social tender criteria.</w:t>
      </w:r>
    </w:p>
    <w:p>
      <w:pPr>
        <w:pStyle w:val="ListBullet"/>
      </w:pPr>
      <w:r>
        <w:t>Completed procurement file showing those criteria were applied.</w:t>
      </w:r>
    </w:p>
    <w:p>
      <w:pPr>
        <w:pStyle w:val="ListBullet"/>
      </w:pPr>
      <w:r>
        <w:t>At least one tender evaluation reflecting the sustainable-procurement criteria.</w:t>
      </w:r>
    </w:p>
    <w:p>
      <w:pPr>
        <w:pStyle w:val="Heading2"/>
      </w:pPr>
      <w:r>
        <w:t>ROM.3.f — Sustainable commuting</w:t>
      </w:r>
    </w:p>
    <w:p>
      <w:pPr>
        <w:pStyle w:val="ListBullet"/>
      </w:pPr>
      <w:r>
        <w:t>Current staff communication promoting common or public transport for commuting.</w:t>
      </w:r>
    </w:p>
    <w:p>
      <w:pPr>
        <w:pStyle w:val="ListBullet"/>
      </w:pPr>
      <w:r>
        <w:t>Documentation of any incentive scheme offered.</w:t>
      </w:r>
    </w:p>
    <w:p>
      <w:pPr>
        <w:pStyle w:val="ListBullet"/>
      </w:pPr>
      <w:r>
        <w:t>Record that the communication was issued to staff (not that every individual complied).</w:t>
      </w:r>
    </w:p>
    <w:p>
      <w:pPr>
        <w:pStyle w:val="Heading2"/>
      </w:pPr>
      <w:r>
        <w:t>ROM.3.g — Financial sustainability</w:t>
      </w:r>
    </w:p>
    <w:p>
      <w:pPr>
        <w:pStyle w:val="ListBullet"/>
      </w:pPr>
      <w:r>
        <w:t>Evidence that the hospital reviews how it balances resource allocation, costs and revenue (form defined by the hospital).</w:t>
      </w:r>
    </w:p>
    <w:p>
      <w:pPr>
        <w:pStyle w:val="ListBullet"/>
      </w:pPr>
      <w:r>
        <w:t>Evidence that the review findings were acted on or noted.</w:t>
      </w:r>
    </w:p>
    <w:p>
      <w:pPr>
        <w:pStyle w:val="Heading1"/>
      </w:pPr>
      <w:r>
        <w:t>13. References</w:t>
      </w:r>
    </w:p>
    <w:p>
      <w:pPr>
        <w:pStyle w:val="ListBullet"/>
      </w:pPr>
      <w:r>
        <w:t>National Accreditation Board for Hospitals and Healthcare Providers (NABH), Accreditation Standards for Hospitals, 6th Edition (January 2025) — Responsibilities of Management, standard ROM.3.</w:t>
      </w:r>
    </w:p>
    <w:p>
      <w:pPr>
        <w:pStyle w:val="ListBullet"/>
      </w:pPr>
      <w:r>
        <w:t>NABH Guidebook to Accreditation Standards for Hospitals, 6th Edition — ROM.3 interpretations.</w:t>
      </w:r>
    </w:p>
    <w:p>
      <w:pPr>
        <w:pStyle w:val="ListBullet"/>
      </w:pPr>
      <w:r>
        <w:t>Internal documents of «Hospital Name»: ESG sustainability programme, social-responsibility programme, purchase policy, staff well-being records, financial-sustainability reviews.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