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AAC.7.d — Patient transfer within the organization is done safely.</w:t>
      </w:r>
    </w:p>
    <w:p>
      <w:r>
        <w:t>AAC.7 Record 04 — Internal patient-transfer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Date / Time: Date and time of transfer.</w:t>
      </w:r>
    </w:p>
    <w:p>
      <w:pPr>
        <w:pStyle w:val="ListParagraph"/>
      </w:pPr>
      <w:r>
        <w:t>Patient Name / UHID: Patient identification.</w:t>
      </w:r>
    </w:p>
    <w:p>
      <w:pPr>
        <w:pStyle w:val="ListParagraph"/>
      </w:pPr>
      <w:r>
        <w:t>From / To: Transferring unit and receiving unit.</w:t>
      </w:r>
    </w:p>
    <w:p>
      <w:pPr>
        <w:pStyle w:val="ListParagraph"/>
      </w:pPr>
      <w:r>
        <w:t>Reason &amp; Pre-Transfer Clinical Status: Reason for transfer and the patient's documented status immediately before the move.</w:t>
      </w:r>
    </w:p>
    <w:p>
      <w:pPr>
        <w:pStyle w:val="ListParagraph"/>
      </w:pPr>
      <w:r>
        <w:t>Accompanied By / Receiving Confirmation: Nurse, trained attendant or doctor who accompanied the patient, and the receiving unit's confirmation of readiness; time of arrival.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Access, Assessment and Continuity of Care chapter, standard AAC.7.</w:t>
      </w:r>
    </w:p>
    <w:p>
      <w:pPr>
        <w:pStyle w:val="ListParagraph"/>
      </w:pPr>
      <w:r>
        <w:t xml:space="preserve">World Health Organization. (2007). </w:t>
      </w:r>
      <w:hyperlink r:id="rId10">
        <w:r>
          <w:rPr>
            <w:color w:val="0563C1"/>
            <w:u w:val="single"/>
          </w:rPr>
          <w:t>Patient Safety Solutions, Volume 1, Solution 3: Communication During Patient Hand-Overs (May 2007)</w:t>
        </w:r>
      </w:hyperlink>
      <w:r>
        <w:t>. Referenced as an external benchmark for structured handover communication; SHCO accreditation does not itself mandate a specific handover tool such as SBAR.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log documents every internal transfer — the reason, the patient's condition just before moving, who accompanied them, and that the receiving unit was ready and handed over to.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transferring nurse or doctor completes this at the time of transfer. The worked example shows a critical patient moved from Emergency to ICU with doctor accompaniment, as required for unstable patients.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An internal transfer with no documented clinical status or receiving confirmation is indistinguishable, on paper, from a patient who was simply moved and lost track of — this record is the evidence that it was done safely.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Date / Time</w:t>
            </w:r>
          </w:p>
        </w:tc>
        <w:tc>
          <w:tcPr>
            <w:tcW w:type="dxa" w:w="1728"/>
          </w:tcPr>
          <w:p>
            <w:r>
              <w:t>Patient Name / UHID</w:t>
            </w:r>
          </w:p>
        </w:tc>
        <w:tc>
          <w:tcPr>
            <w:tcW w:type="dxa" w:w="1728"/>
          </w:tcPr>
          <w:p>
            <w:r>
              <w:t>From / To</w:t>
            </w:r>
          </w:p>
        </w:tc>
        <w:tc>
          <w:tcPr>
            <w:tcW w:type="dxa" w:w="1728"/>
          </w:tcPr>
          <w:p>
            <w:r>
              <w:t>Reason &amp; Pre-Transfer Clinical Status</w:t>
            </w:r>
          </w:p>
        </w:tc>
        <w:tc>
          <w:tcPr>
            <w:tcW w:type="dxa" w:w="1728"/>
          </w:tcPr>
          <w:p>
            <w:r>
              <w:t>Accompanied By / Receiving Confirmation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18-Jun-2026, 14:20</w:t>
            </w:r>
          </w:p>
        </w:tc>
        <w:tc>
          <w:tcPr>
            <w:tcW w:type="dxa" w:w="1728"/>
            <w:shd w:val="clear" w:color="auto" w:fill="FFF2CC"/>
          </w:tcPr>
          <w:p>
            <w:r>
              <w:t>Fatima Sheikh / UHID 00603</w:t>
            </w:r>
          </w:p>
        </w:tc>
        <w:tc>
          <w:tcPr>
            <w:tcW w:type="dxa" w:w="1728"/>
            <w:shd w:val="clear" w:color="auto" w:fill="FFF2CC"/>
          </w:tcPr>
          <w:p>
            <w:r>
              <w:t>Emergency to ICU</w:t>
            </w:r>
          </w:p>
        </w:tc>
        <w:tc>
          <w:tcPr>
            <w:tcW w:type="dxa" w:w="1728"/>
            <w:shd w:val="clear" w:color="auto" w:fill="FFF2CC"/>
          </w:tcPr>
          <w:p>
            <w:r>
              <w:t>Deteriorating respiratory status; stable on O2 at time of transfer</w:t>
            </w:r>
          </w:p>
        </w:tc>
        <w:tc>
          <w:tcPr>
            <w:tcW w:type="dxa" w:w="1728"/>
            <w:shd w:val="clear" w:color="auto" w:fill="FFF2CC"/>
          </w:tcPr>
          <w:p>
            <w:r>
              <w:t>Accompanied by Dr. S. Nair; ICU confirmed bed ready; arrived 14:28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Relationship Id="rId10" Type="http://schemas.openxmlformats.org/officeDocument/2006/relationships/hyperlink" Target="https://www.pslhub.org/learn/improving-patient-safety/design-for-safety/processes/who-communication-during-patient-handovers-may-2007-r124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