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AAC.8.a — A discharge summary is given to all the patients leaving the organization (including patients leaving against medical advice).</w:t>
      </w:r>
    </w:p>
    <w:p>
      <w:r>
        <w:t>AAC.8 Record 01 — Discharge-summary issuance and LAMA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discharge.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Mode of Leaving: Routine discharge, LAMA, transfer-out, or death (see Record 4 for death summary).</w:t>
      </w:r>
    </w:p>
    <w:p>
      <w:pPr>
        <w:pStyle w:val="ListParagraph"/>
      </w:pPr>
      <w:r>
        <w:t>Summary Given To / Time: Patient or representative who received the summary, and the time, relative to leaving.</w:t>
      </w:r>
    </w:p>
    <w:p>
      <w:pPr>
        <w:pStyle w:val="ListParagraph"/>
      </w:pPr>
      <w:r>
        <w:t>LAMA Details (if applicable): What was advised, risks explained, and LAMA noted and signed.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Continuity of Care chapter, standard AAC.8.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log confirms that every single patient who left «Hospital Name» — including every LAMA patient — actually received a discharge summary, and when.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Registration/front-office logs this at the point of discharge. The worked example shows a LAMA patient who still received a complete summary with the risks explained before leaving.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Without this log, a LAMA patient — the exact case where a complete record matters most — could leave with no summary at all and nobody would know.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Name / UHID</w:t>
            </w:r>
          </w:p>
        </w:tc>
        <w:tc>
          <w:tcPr>
            <w:tcW w:type="dxa" w:w="1728"/>
          </w:tcPr>
          <w:p>
            <w:r>
              <w:t>Mode of Leaving</w:t>
            </w:r>
          </w:p>
        </w:tc>
        <w:tc>
          <w:tcPr>
            <w:tcW w:type="dxa" w:w="1728"/>
          </w:tcPr>
          <w:p>
            <w:r>
              <w:t>Summary Given To / Time</w:t>
            </w:r>
          </w:p>
        </w:tc>
        <w:tc>
          <w:tcPr>
            <w:tcW w:type="dxa" w:w="1728"/>
          </w:tcPr>
          <w:p>
            <w:r>
              <w:t>LAMA Details (if applicable)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27-Jul-2026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Devendra Patil / UHID 00691</w:t>
            </w:r>
          </w:p>
        </w:tc>
        <w:tc>
          <w:tcPr>
            <w:tcW w:type="dxa" w:w="1728"/>
            <w:shd w:val="clear" w:color="auto" w:fill="FFF2CC"/>
          </w:tcPr>
          <w:p>
            <w:r>
              <w:t>LAMA</w:t>
            </w:r>
          </w:p>
        </w:tc>
        <w:tc>
          <w:tcPr>
            <w:tcW w:type="dxa" w:w="1728"/>
            <w:shd w:val="clear" w:color="auto" w:fill="FFF2CC"/>
          </w:tcPr>
          <w:p>
            <w:r>
              <w:t>Patient's son, at 11:40 (patient left at 11:45)</w:t>
            </w:r>
          </w:p>
        </w:tc>
        <w:tc>
          <w:tcPr>
            <w:tcW w:type="dxa" w:w="1728"/>
            <w:shd w:val="clear" w:color="auto" w:fill="FFF2CC"/>
          </w:tcPr>
          <w:p>
            <w:r>
              <w:t>Advised continued IV antibiotics; risk of worsening infection explained; LAMA form signed by patient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