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AAC.8.d, AAC.8.e — Discharge summary contains follow-up advice, medication and other instructions in an understandable manner; and incorporates instructions about when and how to obtain urgent care.</w:t>
      </w:r>
    </w:p>
    <w:p>
      <w:r>
        <w:t>AAC.8.d, AAC.8 Record 03 — Follow-up and urgent-care instruction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Date: Date of discharge.</w:t>
      </w:r>
    </w:p>
    <w:p>
      <w:pPr>
        <w:pStyle w:val="ListParagraph"/>
      </w:pPr>
      <w:r>
        <w:t>Patient Name / UHID: Patient identification.</w:t>
      </w:r>
    </w:p>
    <w:p>
      <w:pPr>
        <w:pStyle w:val="ListParagraph"/>
      </w:pPr>
      <w:r>
        <w:t>Follow-Up &amp; Medication Instructions: Follow-up date/timeframe, medications with dose/frequency/route/duration, diet/activity/wound-care instructions, warning signs, contact number.</w:t>
      </w:r>
    </w:p>
    <w:p>
      <w:pPr>
        <w:pStyle w:val="ListParagraph"/>
      </w:pPr>
      <w:r>
        <w:t>Urgent-Care Instructions: Symptoms requiring immediate return, emergency contact, alternative contact if unreachable.</w:t>
      </w:r>
    </w:p>
    <w:p>
      <w:pPr>
        <w:pStyle w:val="ListParagraph"/>
      </w:pPr>
      <w:r>
        <w:t>Verbal Explanation Confirmed By: Doctor/nurse who explained these verbally, and patient/family acknowledgement.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Access, Assessment and Continuity of Care chapter, standard AAC.8.d, AAC.8.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log confirms that every discharge summary's follow-up and urgent-care sections were not just written, but explained verbally and understood.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discharging nurse or doctor logs this at the time of discharge. The worked example shows both the written instructions and the verbal confirmation step completed together.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Written instructions nobody explained, or explained but not confirmed as understood, are the gap between a complete discharge summary on paper and a patient who actually knows what to do after leaving.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Patient Name / UHID</w:t>
            </w:r>
          </w:p>
        </w:tc>
        <w:tc>
          <w:tcPr>
            <w:tcW w:type="dxa" w:w="1728"/>
          </w:tcPr>
          <w:p>
            <w:r>
              <w:t>Follow-Up &amp; Medication Instructions</w:t>
            </w:r>
          </w:p>
        </w:tc>
        <w:tc>
          <w:tcPr>
            <w:tcW w:type="dxa" w:w="1728"/>
          </w:tcPr>
          <w:p>
            <w:r>
              <w:t>Urgent-Care Instructions</w:t>
            </w:r>
          </w:p>
        </w:tc>
        <w:tc>
          <w:tcPr>
            <w:tcW w:type="dxa" w:w="1728"/>
          </w:tcPr>
          <w:p>
            <w:r>
              <w:t>Verbal Explanation Confirmed By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12-Sep-2026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Anil Bose / UHID 00748</w:t>
            </w:r>
          </w:p>
        </w:tc>
        <w:tc>
          <w:tcPr>
            <w:tcW w:type="dxa" w:w="1728"/>
            <w:shd w:val="clear" w:color="auto" w:fill="FFF2CC"/>
          </w:tcPr>
          <w:p>
            <w:r>
              <w:t>Review in OPD after 7 days; Tab. Amoxicillin 500mg 8-hourly x5 days; soft diet; call if fever persists</w:t>
            </w:r>
          </w:p>
        </w:tc>
        <w:tc>
          <w:tcPr>
            <w:tcW w:type="dxa" w:w="1728"/>
            <w:shd w:val="clear" w:color="auto" w:fill="FFF2CC"/>
          </w:tcPr>
          <w:p>
            <w:r>
              <w:t>Return immediately if breathlessness or chest pain; Emergency: «hospital number»; alternate: «referral hospital, 108»</w:t>
            </w:r>
          </w:p>
        </w:tc>
        <w:tc>
          <w:tcPr>
            <w:tcW w:type="dxa" w:w="1728"/>
            <w:shd w:val="clear" w:color="auto" w:fill="FFF2CC"/>
          </w:tcPr>
          <w:p>
            <w:r>
              <w:t>Staff Nurse M. George; patient's wife confirmed understanding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