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AAC.2.f — Transfer–in and transfer-out / referral of patients to the organization is done appropriately.</w:t>
      </w:r>
    </w:p>
    <w:p>
      <w:r>
        <w:t>AAC.2 Record 07 — Transfer and referral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transfer or referral occurred.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Direction: Transfer-in, transfer-out, or referral.</w:t>
      </w:r>
    </w:p>
    <w:p>
      <w:pPr>
        <w:pStyle w:val="ListParagraph"/>
      </w:pPr>
      <w:r>
        <w:t>Facility / Accepting Clinician: The other facility and the named clinician who confirmed acceptance.</w:t>
      </w:r>
    </w:p>
    <w:p>
      <w:pPr>
        <w:pStyle w:val="ListParagraph"/>
      </w:pPr>
      <w:r>
        <w:t>Transport Mode: Own vehicle, BLS, or ALS ambulance.</w:t>
      </w:r>
    </w:p>
    <w:p>
      <w:pPr>
        <w:pStyle w:val="ListParagraph"/>
      </w:pPr>
      <w:r>
        <w:t>Summary Accompanied Patient (Y/N): Whether a written summary went with the patient.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p>
      <w:pPr>
        <w:pStyle w:val="ListParagraph"/>
      </w:pPr>
      <w:r>
        <w:t xml:space="preserve">World Health Organization. (2007). </w:t>
      </w:r>
      <w:hyperlink r:id="rId10">
        <w:r>
          <w:rPr>
            <w:color w:val="0563C1"/>
            <w:u w:val="single"/>
          </w:rPr>
          <w:t>Patient Safety Solutions, Volume 1, Solution 3: Communication During Patient Hand-Overs (May 2007)</w:t>
        </w:r>
      </w:hyperlink>
      <w:r>
        <w:t>. External benchmark only; not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patient transfer and referral in or out of the organisation, confirming the receiving clinician was named, the transport mode fit the patient's condition, and a written summary travelled with the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Nursing staff log this at the time of transfer. The worked example shows an out-transfer for tertiary cardiac care with a named accepting clinician and an ALS ambulance.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transfer with no log, no named accepting clinician, and no confirmed summary cannot be shown to have preserved continuity of care across the handover — this record is that proof.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Facility / Accepting Clinician</w:t>
            </w:r>
          </w:p>
        </w:tc>
        <w:tc>
          <w:tcPr>
            <w:tcW w:type="dxa" w:w="1440"/>
          </w:tcPr>
          <w:p>
            <w:r>
              <w:t>Transport Mode</w:t>
            </w:r>
          </w:p>
        </w:tc>
        <w:tc>
          <w:tcPr>
            <w:tcW w:type="dxa" w:w="1440"/>
          </w:tcPr>
          <w:p>
            <w:r>
              <w:t>Summary Accompanied Patient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28-Feb-2026 / 09:15</w:t>
            </w:r>
          </w:p>
        </w:tc>
        <w:tc>
          <w:tcPr>
            <w:tcW w:type="dxa" w:w="1440"/>
            <w:shd w:val="clear" w:color="auto" w:fill="FFF2CC"/>
          </w:tcPr>
          <w:p>
            <w:r>
              <w:t>SHC-2026-00190</w:t>
            </w:r>
          </w:p>
        </w:tc>
        <w:tc>
          <w:tcPr>
            <w:tcW w:type="dxa" w:w="1440"/>
            <w:shd w:val="clear" w:color="auto" w:fill="FFF2CC"/>
          </w:tcPr>
          <w:p>
            <w:r>
              <w:t>Transfer-out</w:t>
            </w:r>
          </w:p>
        </w:tc>
        <w:tc>
          <w:tcPr>
            <w:tcW w:type="dxa" w:w="1440"/>
            <w:shd w:val="clear" w:color="auto" w:fill="FFF2CC"/>
          </w:tcPr>
          <w:p>
            <w:r>
              <w:t>City Multispecialty Hospital — Dr. N. Iyer, Cardiology</w:t>
            </w:r>
          </w:p>
        </w:tc>
        <w:tc>
          <w:tcPr>
            <w:tcW w:type="dxa" w:w="1440"/>
            <w:shd w:val="clear" w:color="auto" w:fill="FFF2CC"/>
          </w:tcPr>
          <w:p>
            <w:r>
              <w:t>ALS ambulance, nurse accompanying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pslhub.org/learn/improving-patient-safety/design-for-safety/processes/who-communication-during-patient-handovers-may-2007-r12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