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Patient-Safety Programme and Quality Improvement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This policy describes how «Hospital Name» maintains a patient-safety programme and a structured quality improvement programme that work together as one system.</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The programme covers: proactive risk identification, reactive review of incident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The patient-safety programme identifies opportunities for improvement based on review at pre-defined intervals: «quarterly» committee meetings, «monthly» incident-trend reports, and «six-monthly» proactive risk assessments.</w:t>
      </w:r>
    </w:p>
    <w:p>
      <w:pPr>
        <w:spacing w:after="140"/>
      </w:pPr>
      <w:r>
        <w:rPr>
          <w:sz w:val="22"/>
          <w:szCs w:val="22"/>
        </w:rPr>
        <w:t>Sources of opportunity include incident data, indicator trends, clinical audit findings, patient complaints that reveal clinical risk,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A designated individual — the «Quality Coordinator» — coordinates and implements the QI programme. This person is named in the appointment register and has documented responsibilities including: coordinating QI projects, maintaining the indicator dashboard,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Sources include key indicator data, audit findings, incident trends, patient feedback,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Each audit has a defined scope, criteria, method, findings and recommendations. Findings feed into the patient-safety and QI programmes as opportunities for improvement. Audit reports are presented to the committee and tracked for CAPA closure.</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This policy is reviewed «annually», and sooner when a related patient-safety or quality policy is revised.</w:t>
      </w:r>
    </w:p>
    <w:p>
      <w:pPr>
        <w:pStyle w:val="Heading1"/>
        <w:spacing w:after="120" w:before="280"/>
      </w:pPr>
      <w:r>
        <w:t xml:space="preserve">8. Training and staff acknowledgement</w:t>
      </w:r>
    </w:p>
    <w:p>
      <w:pPr>
        <w:spacing w:after="140"/>
      </w:pPr>
      <w:r>
        <w:rPr>
          <w:sz w:val="22"/>
          <w:szCs w:val="22"/>
        </w:rPr>
        <w:t>All staff involved in patient-safety and QI activities are trained on this policy at induction and «once a year» after that. Training covers the patient-safety programme, QI programme, audit participation, incident reporting,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FMEA</w:t>
            </w:r>
          </w:p>
        </w:tc>
        <w:tc>
          <w:tcPr>
            <w:tcW w:type="pct" w:w="22%"/>
            <w:tcBorders>
              <w:top w:val="single" w:color="999999" w:sz="4"/>
              <w:left w:val="single" w:color="999999" w:sz="4"/>
              <w:bottom w:val="single" w:color="999999" w:sz="4"/>
              <w:right w:val="single" w:color="999999" w:sz="4"/>
            </w:tcBorders>
            <w:shd w:fill="E8E8E8" w:val="clear"/>
          </w:tcPr>
          <w:p>
            <w:r>
              <w:rPr>
                <w:b w:val="0"/>
              </w:rPr>
              <w:t>failure mode and effect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IPSG</w:t>
            </w:r>
          </w:p>
        </w:tc>
        <w:tc>
          <w:tcPr>
            <w:tcW w:type="pct" w:w="22%"/>
            <w:tcBorders>
              <w:top w:val="single" w:color="999999" w:sz="4"/>
              <w:left w:val="single" w:color="999999" w:sz="4"/>
              <w:bottom w:val="single" w:color="999999" w:sz="4"/>
              <w:right w:val="single" w:color="999999" w:sz="4"/>
            </w:tcBorders>
            <w:shd w:fill="E8E8E8" w:val="clear"/>
          </w:tcPr>
          <w:p>
            <w:r>
              <w:rPr>
                <w:b w:val="0"/>
              </w:rPr>
              <w:t>International Patient Safety Goals</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PSQ</w:t>
            </w:r>
          </w:p>
        </w:tc>
        <w:tc>
          <w:tcPr>
            <w:tcW w:type="pct" w:w="22%"/>
            <w:tcBorders>
              <w:top w:val="single" w:color="999999" w:sz="4"/>
              <w:left w:val="single" w:color="999999" w:sz="4"/>
              <w:bottom w:val="single" w:color="999999" w:sz="4"/>
              <w:right w:val="single" w:color="999999" w:sz="4"/>
            </w:tcBorders>
            <w:shd w:fill="E8E8E8" w:val="clear"/>
          </w:tcPr>
          <w:p>
            <w:r>
              <w:rPr>
                <w:b w:val="0"/>
              </w:rPr>
              <w:t>Patient Safety and Quality Improvement (NABH SHCO chapter 9)</w:t>
            </w:r>
          </w:p>
        </w:tc>
      </w:tr>
      <w:tr>
        <w:tc>
          <w:tcPr>
            <w:tcW w:type="pct" w:w="22%"/>
            <w:tcBorders>
              <w:top w:val="single" w:color="999999" w:sz="4"/>
              <w:left w:val="single" w:color="999999" w:sz="4"/>
              <w:bottom w:val="single" w:color="999999" w:sz="4"/>
              <w:right w:val="single" w:color="999999" w:sz="4"/>
            </w:tcBorders>
            <w:shd w:fill="E8E8E8" w:val="clear"/>
          </w:tcPr>
          <w:p>
            <w:r>
              <w:rPr>
                <w:b w:val="0"/>
              </w:rPr>
              <w:t>QI</w:t>
            </w:r>
          </w:p>
        </w:tc>
        <w:tc>
          <w:tcPr>
            <w:tcW w:type="pct" w:w="22%"/>
            <w:tcBorders>
              <w:top w:val="single" w:color="999999" w:sz="4"/>
              <w:left w:val="single" w:color="999999" w:sz="4"/>
              <w:bottom w:val="single" w:color="999999" w:sz="4"/>
              <w:right w:val="single" w:color="999999" w:sz="4"/>
            </w:tcBorders>
            <w:shd w:fill="E8E8E8" w:val="clear"/>
          </w:tcPr>
          <w:p>
            <w:r>
              <w:rPr>
                <w:b w:val="0"/>
              </w:rPr>
              <w:t>quality improvement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PSQ.1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13.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Patient Safety and Quality Improvement chapter, standard PSQ.1.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«PSQ/POL/01»  |  Controlled document  |  Policy on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