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Administration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Nursing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are administered only by permitted personnel, only after the patient's identity and the medication order are fully verified, with tubing connections traced to prevent misconnection, and every dose documented accurately.</w:t>
      </w:r>
    </w:p>
    <w:p>
      <w:pPr>
        <w:pStyle w:val="Heading1"/>
      </w:pPr>
      <w:r>
        <w:t>1. Purpose</w:t>
      </w:r>
    </w:p>
    <w:p>
      <w:pPr/>
      <w:r>
        <w:t>This policy explains how «Hospital Name» ensures only permitted personnel administer medications, verifies patient identity and the order before every dose, prevents tubing and catheter mis-connections, documents every administration, and governs self-administration and outside medications.</w:t>
      </w:r>
    </w:p>
    <w:p>
      <w:pPr/>
      <w:r>
        <w:t>This policy does not cover prescription, dispensing, or storage of medications in detail — those are covered in other hospital policies.</w:t>
      </w:r>
    </w:p>
    <w:p>
      <w:pPr>
        <w:pStyle w:val="Heading1"/>
      </w:pPr>
      <w:r>
        <w:t>2. Scope</w:t>
      </w:r>
    </w:p>
    <w:p>
      <w:pPr/>
      <w:r>
        <w:t>This policy applies to all staff who administer medications at «Hospital Name».</w:t>
      </w:r>
    </w:p>
    <w:p>
      <w:pPr>
        <w:pStyle w:val="Heading1"/>
      </w:pPr>
      <w:r>
        <w:t>3. Policy standards</w:t>
      </w:r>
    </w:p>
    <w:p>
      <w:pPr/>
      <w:r>
        <w:t>«Hospital Name» ensures medications are administered only by those permitted by law, with the patient identified using at least two identifiers and the medication, strength, route, and timing verified against the order and physically inspected before every dose. Measures prevent catheter and tubing mis-connections. Every administration is documented in a uniform location, and where self-administration or outside medications are permitted, written guidance governs how.</w:t>
      </w:r>
    </w:p>
    <w:p>
      <w:pPr/>
      <w:r>
        <w:t>Staff follow the written guidance below and keep the records it requires.</w:t>
      </w:r>
    </w:p>
    <w:p>
      <w:pPr>
        <w:pStyle w:val="Heading1"/>
      </w:pPr>
      <w:r>
        <w:t>4. Non-negotiable rules</w:t>
      </w:r>
    </w:p>
    <w:p>
      <w:pPr>
        <w:pStyle w:val="ListBullet"/>
      </w:pPr>
      <w:r>
        <w:t>Do not let anyone administer medication who isn't a registered nurse or doctor with at minimum an MBBS qualification, unless another staff category is specifically backed by legislation or a government order.</w:t>
      </w:r>
    </w:p>
    <w:p>
      <w:pPr>
        <w:pStyle w:val="ListBullet"/>
      </w:pPr>
      <w:r>
        <w:t>Do not prepare a second drug before labelling the first one, wherever more than one drug is prepared and loaded.</w:t>
      </w:r>
    </w:p>
    <w:p>
      <w:pPr>
        <w:pStyle w:val="ListBullet"/>
      </w:pPr>
      <w:r>
        <w:t>Do not administer medication without identifying the patient using at least two identifiers, one of which is the unique identification number and one of which is the patient's full name.</w:t>
      </w:r>
    </w:p>
    <w:p>
      <w:pPr>
        <w:pStyle w:val="ListBullet"/>
      </w:pPr>
      <w:r>
        <w:t>Do not administer medication without verifying it against the order and physically inspecting it — checking general appearance and expiry date — and do not proceed if any order parameter (name, strength, route, frequency, or time) is missing or incomplete; defer instead, pending verification with the treating team.</w:t>
      </w:r>
    </w:p>
    <w:p>
      <w:pPr>
        <w:pStyle w:val="ListBullet"/>
      </w:pPr>
      <w:r>
        <w:t>Do not treat a verbal confirmation of an order as anything other than a verbal order — follow the organisation's verbal-order process, including countersignature within 24 hours.</w:t>
      </w:r>
    </w:p>
    <w:p>
      <w:pPr>
        <w:pStyle w:val="ListBullet"/>
      </w:pPr>
      <w:r>
        <w:t>Do not administer a high-risk medication without independent verification by at least two staff members, documented.</w:t>
      </w:r>
    </w:p>
    <w:p>
      <w:pPr>
        <w:pStyle w:val="ListBullet"/>
      </w:pPr>
      <w:r>
        <w:t>Do not skip verifying strength, route, or timing against the order before administration — where a discrepancy is found, defer administration.</w:t>
      </w:r>
    </w:p>
    <w:p>
      <w:pPr>
        <w:pStyle w:val="ListBullet"/>
      </w:pPr>
      <w:r>
        <w:t>Do not use an IV extension tube for an epidural, irrigation, a drain, a central line, or to extend an enteric feeding tube, and do not make any connection or reconnection without first tracing the line from its origin to the connection port.</w:t>
      </w:r>
    </w:p>
    <w:p>
      <w:pPr>
        <w:pStyle w:val="ListBullet"/>
      </w:pPr>
      <w:r>
        <w:t>Do not document medication administration anywhere other than the uniform location, and do not batch-chart multiple doses at shift-end instead of documenting each dose separately as it happens.</w:t>
      </w:r>
    </w:p>
    <w:p>
      <w:pPr>
        <w:pStyle w:val="ListBullet"/>
      </w:pPr>
      <w:r>
        <w:t>Do not permit patient self-administration, or accept medications brought from outside the organisation, without written guidance governing it.</w:t>
      </w:r>
    </w:p>
    <w:p>
      <w:pPr>
        <w:pStyle w:val="Heading1"/>
      </w:pPr>
      <w:r>
        <w:t>5. What we do</w:t>
      </w:r>
    </w:p>
    <w:p>
      <w:pPr>
        <w:pStyle w:val="Heading2"/>
      </w:pPr>
      <w:r>
        <w:t>5.1 Administer medications only by permitted personnel</w:t>
      </w:r>
    </w:p>
    <w:p>
      <w:pPr/>
      <w:r>
        <w:t>Only a registered nurse or a doctor with at minimum an MBBS qualification administers medication. Where another staff category is authorised to administer medication, that authorisation is backed by legislation or a government order, not an informal internal decision. «Hospital Name» keeps an authorised-personnel list.</w:t>
      </w:r>
    </w:p>
    <w:p>
      <w:pPr>
        <w:pStyle w:val="Heading2"/>
      </w:pPr>
      <w:r>
        <w:t>5.2 Label medications when preparing more than one</w:t>
      </w:r>
    </w:p>
    <w:p>
      <w:pPr/>
      <w:r>
        <w:t>Wherever more than one drug is prepared and loaded — for example anaesthetic drugs in the OT, or chemotherapy drugs — the first medication is labelled before the second is prepared. This applies throughout the organisation, not just in these example areas.</w:t>
      </w:r>
    </w:p>
    <w:p>
      <w:pPr>
        <w:pStyle w:val="Heading2"/>
      </w:pPr>
      <w:r>
        <w:t>5.3 Identify the patient before administering</w:t>
      </w:r>
    </w:p>
    <w:p>
      <w:pPr/>
      <w:r>
        <w:t>At least two identifiers are used to confirm the patient before administration — one is the unique identification number (for example the hospital or IP number), and one is the patient's full name. Matching only by bed number, or relying on an attendant's confirmation alone, doesn't meet this requirement. (Related requirements are covered in the hospital's other policies.)</w:t>
      </w:r>
    </w:p>
    <w:p>
      <w:pPr>
        <w:pStyle w:val="Heading2"/>
      </w:pPr>
      <w:r>
        <w:t>5.4 Verify and inspect the medication before administering</w:t>
      </w:r>
    </w:p>
    <w:p>
      <w:pPr/>
      <w:r>
        <w:t>Staff verify the medication order and physically inspect the medication — checking its general appearance (for example, unusual melting or clumping) and its expiry date — before administration. If any parameter of the order (name, strength, route, frequency, or time) is missing or incomplete, administration is deferred pending verification with the treating team. Any verbal confirmation obtained is treated as a verbal order, following the organisation's verbal-order process, including countersignature within 24 hours. For high-risk medications, verification is done independently by at least two staff members — nurse and nurse, or nurse and doctor — and documented. Nurses are trained on high-risk medications and empowered to raise concerns about a prescription while verifying it.</w:t>
      </w:r>
    </w:p>
    <w:p>
      <w:pPr>
        <w:pStyle w:val="Heading2"/>
      </w:pPr>
      <w:r>
        <w:t>5.5 Verify strength before administering</w:t>
      </w:r>
    </w:p>
    <w:p>
      <w:pPr/>
      <w:r>
        <w:t>The strength of the medication is verified from the order before administration. Where a discrepancy is found, administration is deferred rather than adjusted at the bedside. (Related requirements are covered in the hospital's other policies.)</w:t>
      </w:r>
    </w:p>
    <w:p>
      <w:pPr>
        <w:pStyle w:val="Heading2"/>
      </w:pPr>
      <w:r>
        <w:t>5.6 Verify route before administering</w:t>
      </w:r>
    </w:p>
    <w:p>
      <w:pPr/>
      <w:r>
        <w:t>Where applicable, the site or route of administration is verified from the order before administration. (Related requirements are covered in the hospital's other policies.)</w:t>
      </w:r>
    </w:p>
    <w:p>
      <w:pPr>
        <w:pStyle w:val="Heading2"/>
      </w:pPr>
      <w:r>
        <w:t>5.7 Verify timing before administering</w:t>
      </w:r>
    </w:p>
    <w:p>
      <w:pPr/>
      <w:r>
        <w:t>Where a medication order doesn't state an explicit administration time — for example, standard frequency codes like once-daily-three-times or twice-daily — «Hospital Name» maintains documentation supporting the correct timing, and these suggested timings are followed. The ISMP Acute Care Guidelines for Timely Administration of Scheduled Medications, which classify medications as time-critical or non-time-critical, are a useful reference «Hospital Name» could adopt or adapt.</w:t>
      </w:r>
    </w:p>
    <w:p>
      <w:pPr>
        <w:pStyle w:val="Heading2"/>
      </w:pPr>
      <w:r>
        <w:t>5.8 Prevent catheter and tubing mis-connections</w:t>
      </w:r>
    </w:p>
    <w:p>
      <w:pPr/>
      <w:r>
        <w:t>«Hospital Name» ensures inadvertent administration of a drug through the wrong route is avoided. IV extension tubes are never used for epidurals, irrigation, drains, or central lines, and never used to extend enteric feeding tubes. Functionally dissimilar tubes used in patient care are positioned away from one another. Staff trace every line from its origin to the connection port to verify the correct attachment before making any connection or reconnection, or before administering any medication, solution, or other product.</w:t>
      </w:r>
    </w:p>
    <w:p>
      <w:pPr>
        <w:pStyle w:val="Heading2"/>
      </w:pPr>
      <w:r>
        <w:t>5.9 Document every administration</w:t>
      </w:r>
    </w:p>
    <w:p>
      <w:pPr/>
      <w:r>
        <w:t>Documentation of medication administration happens in a uniform location. It includes the medication's name, strength, route, timing, and the name (or employee ID) and signature of the person who administered it. Each dose is documented separately — not batched together at shift-end. Documentation reflects what was actually administered, not what was originally ordered — for example, if a different brand of the same generic drug was given, or half a 500 mg tablet was given in place of a 250 mg tablet, the record shows what was actually given. For infusions, the start time, rate or volume, and end time are captured; for continuous infusions, the drop rate or volume is documented and the total volume infused calculated for each shift.</w:t>
      </w:r>
    </w:p>
    <w:p>
      <w:pPr>
        <w:pStyle w:val="Heading2"/>
      </w:pPr>
      <w:r>
        <w:t>5.10 Govern patient self-administration</w:t>
      </w:r>
    </w:p>
    <w:p>
      <w:pPr/>
      <w:r>
        <w:t>«Hospital Name» decides, and documents, whether it permits patients to self-administer medications — for example, self-administration of insulin. Where permitted, written guidance defines which medications a patient may self-administer, it's preferable to also have a method for assisting self-administration, and the patient is reminded to take each dose, with reminders documented.</w:t>
      </w:r>
    </w:p>
    <w:p>
      <w:pPr>
        <w:pStyle w:val="Heading2"/>
      </w:pPr>
      <w:r>
        <w:t>5.11 Govern medications brought from outside</w:t>
      </w:r>
    </w:p>
    <w:p>
      <w:pPr/>
      <w:r>
        <w:t>«Hospital Name» decides whether it permits patients to use medications they've brought from outside the organisation, and implements the necessary measures either way. Where permitted, written guidance sets out the pre-requisites such medications must meet — for example, a clear label showing name, strength, expiry date, and batch number.</w:t>
      </w:r>
    </w:p>
    <w:p>
      <w:pPr>
        <w:pStyle w:val="Heading1"/>
      </w:pPr>
      <w:r>
        <w:t>6. Stop-work authority</w:t>
      </w:r>
    </w:p>
    <w:p>
      <w:pPr/>
      <w:r>
        <w:t>Do not administer a medication when the patient has not been identified with the organisation's identifiers, when the medication, strength, route, or timing has not been verified against the order, when the product fails physical inspection, or when you are not on the list of persons permitted by law and by «Hospital Name» to administer that medication.</w:t>
      </w:r>
    </w:p>
    <w:p>
      <w:pPr/>
      <w:r>
        <w:t>Do not connect a catheter or tubing for medication administration until the line has been traced from the patient to the source.</w:t>
      </w:r>
    </w:p>
    <w:p>
      <w:pPr/>
      <w:r>
        <w:t>Stop-work applies to the administration start. Immediate life-saving administration in a crash continues with the best available permitted staff and is documented afterward.</w:t>
      </w:r>
    </w:p>
    <w:p>
      <w:pPr/>
      <w:r>
        <w:t>The person who stops tells the Nurse In-Charge and the treating doctor the same shift. Refusing an unsafe administration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safe medication administration is resourced and implemented; maintains the authorised-administration-personnel list together with the Nursing Superintendent.</w:t>
            </w:r>
          </w:p>
        </w:tc>
      </w:tr>
      <w:tr>
        <w:tc>
          <w:tcPr>
            <w:tcW w:type="dxa" w:w="4320"/>
          </w:tcPr>
          <w:p>
            <w:r>
              <w:t>Nursing Superintendent</w:t>
            </w:r>
          </w:p>
        </w:tc>
        <w:tc>
          <w:tcPr>
            <w:tcW w:type="dxa" w:w="4320"/>
          </w:tcPr>
          <w:p>
            <w:r>
              <w:t>Owns day-to-day implementation of this policy; maintains the authorised-administration-personnel list; ensures identification, verification, documentation, and line-tracing practices are followed; receives stop-work escalations.</w:t>
            </w:r>
          </w:p>
        </w:tc>
      </w:tr>
      <w:tr>
        <w:tc>
          <w:tcPr>
            <w:tcW w:type="dxa" w:w="4320"/>
          </w:tcPr>
          <w:p>
            <w:r>
              <w:t>Medication Safety Officer</w:t>
            </w:r>
          </w:p>
        </w:tc>
        <w:tc>
          <w:tcPr>
            <w:tcW w:type="dxa" w:w="4320"/>
          </w:tcPr>
          <w:p>
            <w:r>
              <w:t>Coordinates medication-safety processes; brings administration incidents and audit findings to the Drug and Therapeutics Committee.</w:t>
            </w:r>
          </w:p>
        </w:tc>
      </w:tr>
      <w:tr>
        <w:tc>
          <w:tcPr>
            <w:tcW w:type="dxa" w:w="4320"/>
          </w:tcPr>
          <w:p>
            <w:r>
              <w:t>Treating doctors</w:t>
            </w:r>
          </w:p>
        </w:tc>
        <w:tc>
          <w:tcPr>
            <w:tcW w:type="dxa" w:w="4320"/>
          </w:tcPr>
          <w:p>
            <w:r>
              <w:t>Provide clear, complete medication orders; countersign verbal orders within 24 hours; respond to stop-work escalations from administering staff.</w:t>
            </w:r>
          </w:p>
        </w:tc>
      </w:tr>
      <w:tr>
        <w:tc>
          <w:tcPr>
            <w:tcW w:type="dxa" w:w="4320"/>
          </w:tcPr>
          <w:p>
            <w:r>
              <w:t>Pharmacy In-Charge</w:t>
            </w:r>
          </w:p>
        </w:tc>
        <w:tc>
          <w:tcPr>
            <w:tcW w:type="dxa" w:w="4320"/>
          </w:tcPr>
          <w:p>
            <w:r>
              <w:t>Ensures medications are correctly labelled and verified before reaching the administering nurse or doctor; supports the high-risk medication verification process.</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Authorised administration personnel</w:t>
            </w:r>
          </w:p>
        </w:tc>
        <w:tc>
          <w:tcPr>
            <w:tcW w:type="dxa" w:w="4320"/>
          </w:tcPr>
          <w:p>
            <w:r>
              <w:t>Only registered nurses, MBBS-minimum doctors, or legislation-backed staff administer medications; authorised-personnel list current.</w:t>
            </w:r>
          </w:p>
        </w:tc>
      </w:tr>
      <w:tr>
        <w:tc>
          <w:tcPr>
            <w:tcW w:type="dxa" w:w="4320"/>
          </w:tcPr>
          <w:p>
            <w:r>
              <w:t>Medication preparation labelling</w:t>
            </w:r>
          </w:p>
        </w:tc>
        <w:tc>
          <w:tcPr>
            <w:tcW w:type="dxa" w:w="4320"/>
          </w:tcPr>
          <w:p>
            <w:r>
              <w:t>First medication labelled before a second is prepared wherever more than one drug is prepared and loaded; applies throughout the organisation.</w:t>
            </w:r>
          </w:p>
        </w:tc>
      </w:tr>
      <w:tr>
        <w:tc>
          <w:tcPr>
            <w:tcW w:type="dxa" w:w="4320"/>
          </w:tcPr>
          <w:p>
            <w:r>
              <w:t>Patient identification</w:t>
            </w:r>
          </w:p>
        </w:tc>
        <w:tc>
          <w:tcPr>
            <w:tcW w:type="dxa" w:w="4320"/>
          </w:tcPr>
          <w:p>
            <w:r>
              <w:t>At least two identifiers — unique identification number plus full name — confirmed before every administration; bed number or attendant alone not accepted.</w:t>
            </w:r>
          </w:p>
        </w:tc>
      </w:tr>
      <w:tr>
        <w:tc>
          <w:tcPr>
            <w:tcW w:type="dxa" w:w="4320"/>
          </w:tcPr>
          <w:p>
            <w:r>
              <w:t>Medication verification and physical inspection</w:t>
            </w:r>
          </w:p>
        </w:tc>
        <w:tc>
          <w:tcPr>
            <w:tcW w:type="dxa" w:w="4320"/>
          </w:tcPr>
          <w:p>
            <w:r>
              <w:t>Order verified (name, strength, route, frequency, time) and medication physically inspected (appearance and expiry) before every dose; administration deferred when any parameter is missing or incomplete; two-staff independent documented check for high-risk medications.</w:t>
            </w:r>
          </w:p>
        </w:tc>
      </w:tr>
      <w:tr>
        <w:tc>
          <w:tcPr>
            <w:tcW w:type="dxa" w:w="4320"/>
          </w:tcPr>
          <w:p>
            <w:r>
              <w:t>Strength, route, and timing verification</w:t>
            </w:r>
          </w:p>
        </w:tc>
        <w:tc>
          <w:tcPr>
            <w:tcW w:type="dxa" w:w="4320"/>
          </w:tcPr>
          <w:p>
            <w:r>
              <w:t>Strength, route (where applicable), and timing verified from the order before every administration; discrepancies result in deferral.</w:t>
            </w:r>
          </w:p>
        </w:tc>
      </w:tr>
      <w:tr>
        <w:tc>
          <w:tcPr>
            <w:tcW w:type="dxa" w:w="4320"/>
          </w:tcPr>
          <w:p>
            <w:r>
              <w:t>Catheter and tubing mis-connection prevention</w:t>
            </w:r>
          </w:p>
        </w:tc>
        <w:tc>
          <w:tcPr>
            <w:tcW w:type="dxa" w:w="4320"/>
          </w:tcPr>
          <w:p>
            <w:r>
              <w:t>IV extension tubes never used for epidurals, irrigation, drains, central lines, or enteric feeding tubes; line traced before every connection or reconnection; training records current.</w:t>
            </w:r>
          </w:p>
        </w:tc>
      </w:tr>
      <w:tr>
        <w:tc>
          <w:tcPr>
            <w:tcW w:type="dxa" w:w="4320"/>
          </w:tcPr>
          <w:p>
            <w:r>
              <w:t>Administration documentation</w:t>
            </w:r>
          </w:p>
        </w:tc>
        <w:tc>
          <w:tcPr>
            <w:tcW w:type="dxa" w:w="4320"/>
          </w:tcPr>
          <w:p>
            <w:r>
              <w:t>Documentation in a uniform location for every dose — name, strength, route, timing, administrator identity; each dose documented separately, not batched; actual administration reflected, not original order alone where different; infusion records complete.</w:t>
            </w:r>
          </w:p>
        </w:tc>
      </w:tr>
      <w:tr>
        <w:tc>
          <w:tcPr>
            <w:tcW w:type="dxa" w:w="4320"/>
          </w:tcPr>
          <w:p>
            <w:r>
              <w:t>Patient self-administration</w:t>
            </w:r>
          </w:p>
        </w:tc>
        <w:tc>
          <w:tcPr>
            <w:tcW w:type="dxa" w:w="4320"/>
          </w:tcPr>
          <w:p>
            <w:r>
              <w:t>Decision documented; written guidance in place where permitted; patient reminders documented per dose.</w:t>
            </w:r>
          </w:p>
        </w:tc>
      </w:tr>
      <w:tr>
        <w:tc>
          <w:tcPr>
            <w:tcW w:type="dxa" w:w="4320"/>
          </w:tcPr>
          <w:p>
            <w:r>
              <w:t>Outside medications</w:t>
            </w:r>
          </w:p>
        </w:tc>
        <w:tc>
          <w:tcPr>
            <w:tcW w:type="dxa" w:w="4320"/>
          </w:tcPr>
          <w:p>
            <w:r>
              <w:t>Decision documented; written pre-requisites guidance in place where permitted.</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staff who administer medications shall be familiar with the authorised-personnel requirements, patient identification, medication verification and inspection, line-tracing and IV-extension-tube prohibition, administration documentation, and stop-work authority in this policy.</w:t>
      </w:r>
    </w:p>
    <w:p>
      <w:pPr/>
      <w:r>
        <w:t>I have read the Policy on Safe Administration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staff who administer medications, the Nursing Superintendent, treating doctors, pharmacy staff,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CORE</w:t>
            </w:r>
          </w:p>
        </w:tc>
        <w:tc>
          <w:tcPr>
            <w:tcW w:type="dxa" w:w="4320"/>
          </w:tcPr>
          <w:p>
            <w:r>
              <w:t>Core objective element (NABH)</w:t>
            </w:r>
          </w:p>
        </w:tc>
      </w:tr>
      <w:tr>
        <w:tc>
          <w:tcPr>
            <w:tcW w:type="dxa" w:w="4320"/>
          </w:tcPr>
          <w:p>
            <w:r>
              <w:t>ICU</w:t>
            </w:r>
          </w:p>
        </w:tc>
        <w:tc>
          <w:tcPr>
            <w:tcW w:type="dxa" w:w="4320"/>
          </w:tcPr>
          <w:p>
            <w:r>
              <w:t>Intensive Care Unit</w:t>
            </w:r>
          </w:p>
        </w:tc>
      </w:tr>
      <w:tr>
        <w:tc>
          <w:tcPr>
            <w:tcW w:type="dxa" w:w="4320"/>
          </w:tcPr>
          <w:p>
            <w:r>
              <w:t>ISMP</w:t>
            </w:r>
          </w:p>
        </w:tc>
        <w:tc>
          <w:tcPr>
            <w:tcW w:type="dxa" w:w="4320"/>
          </w:tcPr>
          <w:p>
            <w:r>
              <w:t>Institute for Safe Medication Practices</w:t>
            </w:r>
          </w:p>
        </w:tc>
      </w:tr>
      <w:tr>
        <w:tc>
          <w:tcPr>
            <w:tcW w:type="dxa" w:w="4320"/>
          </w:tcPr>
          <w:p>
            <w:r>
              <w:t>IV</w:t>
            </w:r>
          </w:p>
        </w:tc>
        <w:tc>
          <w:tcPr>
            <w:tcW w:type="dxa" w:w="4320"/>
          </w:tcPr>
          <w:p>
            <w:r>
              <w:t>Intravenous</w:t>
            </w:r>
          </w:p>
        </w:tc>
      </w:tr>
      <w:tr>
        <w:tc>
          <w:tcPr>
            <w:tcW w:type="dxa" w:w="4320"/>
          </w:tcPr>
          <w:p>
            <w:r>
              <w:t>MBBS</w:t>
            </w:r>
          </w:p>
        </w:tc>
        <w:tc>
          <w:tcPr>
            <w:tcW w:type="dxa" w:w="4320"/>
          </w:tcPr>
          <w:p>
            <w:r>
              <w:t>Bachelor of Medicine, Bachelor of Surgery</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MOM.7.a</w:t>
            </w:r>
          </w:p>
        </w:tc>
        <w:tc>
          <w:tcPr>
            <w:tcW w:type="dxa" w:w="2880"/>
          </w:tcPr>
          <w:p>
            <w:r>
              <w:t>Commitment</w:t>
            </w:r>
          </w:p>
        </w:tc>
        <w:tc>
          <w:tcPr>
            <w:tcW w:type="dxa" w:w="2880"/>
          </w:tcPr>
          <w:p>
            <w:r>
              <w:t>Sections 3 and 5.1 address the registered-nurse or MBBS-minimum-doctor requirement and the legislation-or-government-order basis for any other authorised category. This is also a stop-work trigger in Section 6.</w:t>
            </w:r>
          </w:p>
        </w:tc>
      </w:tr>
      <w:tr>
        <w:tc>
          <w:tcPr>
            <w:tcW w:type="dxa" w:w="2880"/>
          </w:tcPr>
          <w:p>
            <w:r>
              <w:t>MOM.7.b</w:t>
            </w:r>
          </w:p>
        </w:tc>
        <w:tc>
          <w:tcPr>
            <w:tcW w:type="dxa" w:w="2880"/>
          </w:tcPr>
          <w:p>
            <w:r>
              <w:t>Commitment</w:t>
            </w:r>
          </w:p>
        </w:tc>
        <w:tc>
          <w:tcPr>
            <w:tcW w:type="dxa" w:w="2880"/>
          </w:tcPr>
          <w:p>
            <w:r>
              <w:t>Section 5.2 addresses the labelling requirement before preparing a second drug, wherever more than one drug is prepared and loaded.</w:t>
            </w:r>
          </w:p>
        </w:tc>
      </w:tr>
      <w:tr>
        <w:tc>
          <w:tcPr>
            <w:tcW w:type="dxa" w:w="2880"/>
          </w:tcPr>
          <w:p>
            <w:r>
              <w:t>MOM.7.c</w:t>
            </w:r>
          </w:p>
        </w:tc>
        <w:tc>
          <w:tcPr>
            <w:tcW w:type="dxa" w:w="2880"/>
          </w:tcPr>
          <w:p>
            <w:r>
              <w:t>Commitment</w:t>
            </w:r>
          </w:p>
        </w:tc>
        <w:tc>
          <w:tcPr>
            <w:tcW w:type="dxa" w:w="2880"/>
          </w:tcPr>
          <w:p>
            <w:r>
              <w:t>Sections 3 and 5.3 address two-identifier patient identification — unique identification number and full name — before every administration; bed-number matching alone is explicitly excluded. This is also a stop-work trigger in Section 6.</w:t>
            </w:r>
          </w:p>
        </w:tc>
      </w:tr>
      <w:tr>
        <w:tc>
          <w:tcPr>
            <w:tcW w:type="dxa" w:w="2880"/>
          </w:tcPr>
          <w:p>
            <w:r>
              <w:t>MOM.7.d</w:t>
            </w:r>
          </w:p>
        </w:tc>
        <w:tc>
          <w:tcPr>
            <w:tcW w:type="dxa" w:w="2880"/>
          </w:tcPr>
          <w:p>
            <w:r>
              <w:t>CORE</w:t>
            </w:r>
          </w:p>
        </w:tc>
        <w:tc>
          <w:tcPr>
            <w:tcW w:type="dxa" w:w="2880"/>
          </w:tcPr>
          <w:p>
            <w:r>
              <w:t>Sections 3 and 5.4 address medication-order verification and physical inspection before administration, the five-parameter completeness check (name, strength, route, frequency, time) with deferral — not adjustment — where any parameter is missing, and two-staff independent documented verification for high-risk medications. This is also a stop-work trigger in Section 6.</w:t>
            </w:r>
          </w:p>
        </w:tc>
      </w:tr>
      <w:tr>
        <w:tc>
          <w:tcPr>
            <w:tcW w:type="dxa" w:w="2880"/>
          </w:tcPr>
          <w:p>
            <w:r>
              <w:t>MOM.7.e</w:t>
            </w:r>
          </w:p>
        </w:tc>
        <w:tc>
          <w:tcPr>
            <w:tcW w:type="dxa" w:w="2880"/>
          </w:tcPr>
          <w:p>
            <w:r>
              <w:t>Commitment</w:t>
            </w:r>
          </w:p>
        </w:tc>
        <w:tc>
          <w:tcPr>
            <w:tcW w:type="dxa" w:w="2880"/>
          </w:tcPr>
          <w:p>
            <w:r>
              <w:t>Section 5.5 addresses strength verification from the order before administration, and deferral — not bedside adjustment — where a discrepancy is found.</w:t>
            </w:r>
          </w:p>
        </w:tc>
      </w:tr>
      <w:tr>
        <w:tc>
          <w:tcPr>
            <w:tcW w:type="dxa" w:w="2880"/>
          </w:tcPr>
          <w:p>
            <w:r>
              <w:t>MOM.7.f</w:t>
            </w:r>
          </w:p>
        </w:tc>
        <w:tc>
          <w:tcPr>
            <w:tcW w:type="dxa" w:w="2880"/>
          </w:tcPr>
          <w:p>
            <w:r>
              <w:t>Commitment</w:t>
            </w:r>
          </w:p>
        </w:tc>
        <w:tc>
          <w:tcPr>
            <w:tcW w:type="dxa" w:w="2880"/>
          </w:tcPr>
          <w:p>
            <w:r>
              <w:t>Section 5.6 addresses route (and site, where applicable) verification from the order before administration.</w:t>
            </w:r>
          </w:p>
        </w:tc>
      </w:tr>
      <w:tr>
        <w:tc>
          <w:tcPr>
            <w:tcW w:type="dxa" w:w="2880"/>
          </w:tcPr>
          <w:p>
            <w:r>
              <w:t>MOM.7.g</w:t>
            </w:r>
          </w:p>
        </w:tc>
        <w:tc>
          <w:tcPr>
            <w:tcW w:type="dxa" w:w="2880"/>
          </w:tcPr>
          <w:p>
            <w:r>
              <w:t>Commitment</w:t>
            </w:r>
          </w:p>
        </w:tc>
        <w:tc>
          <w:tcPr>
            <w:tcW w:type="dxa" w:w="2880"/>
          </w:tcPr>
          <w:p>
            <w:r>
              <w:t>Section 5.7 addresses timing verification — including documentation supporting the correct time where the order uses a frequency code only.</w:t>
            </w:r>
          </w:p>
        </w:tc>
      </w:tr>
      <w:tr>
        <w:tc>
          <w:tcPr>
            <w:tcW w:type="dxa" w:w="2880"/>
          </w:tcPr>
          <w:p>
            <w:r>
              <w:t>MOM.7.h</w:t>
            </w:r>
          </w:p>
        </w:tc>
        <w:tc>
          <w:tcPr>
            <w:tcW w:type="dxa" w:w="2880"/>
          </w:tcPr>
          <w:p>
            <w:r>
              <w:t>CORE*</w:t>
            </w:r>
          </w:p>
        </w:tc>
        <w:tc>
          <w:tcPr>
            <w:tcW w:type="dxa" w:w="2880"/>
          </w:tcPr>
          <w:p>
            <w:r>
              <w:t>Sections 3 and 5.8 address the absolute prohibition on using IV extension tubes for epidurals, irrigation, drains, central lines, or enteric feeding tubes, the line-trace requirement before every connection or reconnection, and positioning of dissimilar tubes away from each other. This is also a stop-work trigger in Section 6.</w:t>
            </w:r>
          </w:p>
        </w:tc>
      </w:tr>
      <w:tr>
        <w:tc>
          <w:tcPr>
            <w:tcW w:type="dxa" w:w="2880"/>
          </w:tcPr>
          <w:p>
            <w:r>
              <w:t>MOM.7.i</w:t>
            </w:r>
          </w:p>
        </w:tc>
        <w:tc>
          <w:tcPr>
            <w:tcW w:type="dxa" w:w="2880"/>
          </w:tcPr>
          <w:p>
            <w:r>
              <w:t>Commitment</w:t>
            </w:r>
          </w:p>
        </w:tc>
        <w:tc>
          <w:tcPr>
            <w:tcW w:type="dxa" w:w="2880"/>
          </w:tcPr>
          <w:p>
            <w:r>
              <w:t>Section 5.9 addresses documentation of every administration in a uniform location, each dose separately (not batched), reflecting actual administration, with full infusion detail.</w:t>
            </w:r>
          </w:p>
        </w:tc>
      </w:tr>
      <w:tr>
        <w:tc>
          <w:tcPr>
            <w:tcW w:type="dxa" w:w="2880"/>
          </w:tcPr>
          <w:p>
            <w:r>
              <w:t>MOM.7.j</w:t>
            </w:r>
          </w:p>
        </w:tc>
        <w:tc>
          <w:tcPr>
            <w:tcW w:type="dxa" w:w="2880"/>
          </w:tcPr>
          <w:p>
            <w:r>
              <w:t>Commitment*</w:t>
            </w:r>
          </w:p>
        </w:tc>
        <w:tc>
          <w:tcPr>
            <w:tcW w:type="dxa" w:w="2880"/>
          </w:tcPr>
          <w:p>
            <w:r>
              <w:t>Section 5.10 addresses the decision on whether patient self-administration is permitted, written guidance where it is, and documented dose reminders.</w:t>
            </w:r>
          </w:p>
        </w:tc>
      </w:tr>
      <w:tr>
        <w:tc>
          <w:tcPr>
            <w:tcW w:type="dxa" w:w="2880"/>
          </w:tcPr>
          <w:p>
            <w:r>
              <w:t>MOM.7.k</w:t>
            </w:r>
          </w:p>
        </w:tc>
        <w:tc>
          <w:tcPr>
            <w:tcW w:type="dxa" w:w="2880"/>
          </w:tcPr>
          <w:p>
            <w:r>
              <w:t>Commitment*</w:t>
            </w:r>
          </w:p>
        </w:tc>
        <w:tc>
          <w:tcPr>
            <w:tcW w:type="dxa" w:w="2880"/>
          </w:tcPr>
          <w:p>
            <w:r>
              <w:t>Section 5.11 addresses the decision on whether outside medications are permitted, and written pre-requisites guidance where they are.</w:t>
            </w:r>
          </w:p>
        </w:tc>
      </w:tr>
    </w:tbl>
    <w:p>
      <w:pPr>
        <w:pStyle w:val="Heading1"/>
      </w:pPr>
      <w:r>
        <w:t>13. Required Records/Evidence Checklist</w:t>
      </w:r>
    </w:p>
    <w:p>
      <w:pPr>
        <w:pStyle w:val="Heading2"/>
      </w:pPr>
      <w:r>
        <w:t>Authorised administration personnel — MOM.7.a</w:t>
      </w:r>
    </w:p>
    <w:p>
      <w:pPr>
        <w:pStyle w:val="ListBullet"/>
      </w:pPr>
      <w:r>
        <w:t>Authorised-administration-personnel list held by the Nursing Superintendent and Medical Superintendent, naming registered nurses, MBBS-minimum doctors, and any other category with its legislative or government-order backing.</w:t>
      </w:r>
    </w:p>
    <w:p>
      <w:pPr>
        <w:pStyle w:val="ListBullet"/>
      </w:pPr>
      <w:r>
        <w:t>Documented supervision records where student staff administer under supervision.</w:t>
      </w:r>
    </w:p>
    <w:p>
      <w:pPr>
        <w:pStyle w:val="ListBullet"/>
      </w:pPr>
      <w:r>
        <w:t>Confirmation no unlisted person administered a medication.</w:t>
      </w:r>
    </w:p>
    <w:p>
      <w:pPr>
        <w:pStyle w:val="Heading2"/>
      </w:pPr>
      <w:r>
        <w:t>Medication preparation labelling — MOM.7.b</w:t>
      </w:r>
    </w:p>
    <w:p>
      <w:pPr>
        <w:pStyle w:val="ListBullet"/>
      </w:pPr>
      <w:r>
        <w:t>Observation or audit records confirming the first medication is labelled before a second drug is prepared, across OT, ICU, emergency, and wards.</w:t>
      </w:r>
    </w:p>
    <w:p>
      <w:pPr>
        <w:pStyle w:val="ListBullet"/>
      </w:pPr>
      <w:r>
        <w:t>Training records on the labelling rule for areas where more than one drug is prepared and loaded.</w:t>
      </w:r>
    </w:p>
    <w:p>
      <w:pPr>
        <w:pStyle w:val="Heading2"/>
      </w:pPr>
      <w:r>
        <w:t>Patient identification — MOM.7.c</w:t>
      </w:r>
    </w:p>
    <w:p>
      <w:pPr>
        <w:pStyle w:val="ListBullet"/>
      </w:pPr>
      <w:r>
        <w:t>Administration records showing at least two identifiers used — unique identification number and full name — before each administration.</w:t>
      </w:r>
    </w:p>
    <w:p>
      <w:pPr>
        <w:pStyle w:val="ListBullet"/>
      </w:pPr>
      <w:r>
        <w:t>Training records confirming bed-number-only matching is not accepted.</w:t>
      </w:r>
    </w:p>
    <w:p>
      <w:pPr>
        <w:pStyle w:val="ListBullet"/>
      </w:pPr>
      <w:r>
        <w:t>Records of administrations stopped where identity could not be confirmed.</w:t>
      </w:r>
    </w:p>
    <w:p>
      <w:pPr>
        <w:pStyle w:val="Heading2"/>
      </w:pPr>
      <w:r>
        <w:t>Medication verification and physical inspection — MOM.7.d (CORE)</w:t>
      </w:r>
    </w:p>
    <w:p>
      <w:pPr>
        <w:pStyle w:val="ListBullet"/>
      </w:pPr>
      <w:r>
        <w:t>Pre-administration verification records showing medication matched against order and physically inspected for appearance and expiry.</w:t>
      </w:r>
    </w:p>
    <w:p>
      <w:pPr>
        <w:pStyle w:val="ListBullet"/>
      </w:pPr>
      <w:r>
        <w:t>Deferral records where any order parameter (name, strength, route, frequency, or time) was missing or incomplete, pending treating-team verification.</w:t>
      </w:r>
    </w:p>
    <w:p>
      <w:pPr>
        <w:pStyle w:val="ListBullet"/>
      </w:pPr>
      <w:r>
        <w:t>Two-staff independent documented verification records for high-risk medications before administration.</w:t>
      </w:r>
    </w:p>
    <w:p>
      <w:pPr>
        <w:pStyle w:val="ListBullet"/>
      </w:pPr>
      <w:r>
        <w:t>Training records confirming nurses are trained on high-risk medications and empowered to raise concerns.</w:t>
      </w:r>
    </w:p>
    <w:p>
      <w:pPr>
        <w:pStyle w:val="Heading2"/>
      </w:pPr>
      <w:r>
        <w:t>Strength, route, and timing verification — MOM.7.e, MOM.7.f, MOM.7.g</w:t>
      </w:r>
    </w:p>
    <w:p>
      <w:pPr>
        <w:pStyle w:val="ListBullet"/>
      </w:pPr>
      <w:r>
        <w:t>Strength verification records from order before administration; deferral records for discrepancies.</w:t>
      </w:r>
    </w:p>
    <w:p>
      <w:pPr>
        <w:pStyle w:val="ListBullet"/>
      </w:pPr>
      <w:r>
        <w:t>Route verification records (where applicable) before administration.</w:t>
      </w:r>
    </w:p>
    <w:p>
      <w:pPr>
        <w:pStyle w:val="ListBullet"/>
      </w:pPr>
      <w:r>
        <w:t>Timing documentation showing correct administration time where the order uses a frequency code only.</w:t>
      </w:r>
    </w:p>
    <w:p>
      <w:pPr>
        <w:pStyle w:val="Heading2"/>
      </w:pPr>
      <w:r>
        <w:t>Catheter and tubing mis-connection prevention — MOM.7.h (CORE*)</w:t>
      </w:r>
    </w:p>
    <w:p>
      <w:pPr>
        <w:pStyle w:val="ListBullet"/>
      </w:pPr>
      <w:r>
        <w:t>Written measures in place describing the IV-extension-tube prohibition (epidurals, irrigation, drains, central lines, enteric feeding tubes) and the line-trace requirement before every connection or reconnection.</w:t>
      </w:r>
    </w:p>
    <w:p>
      <w:pPr>
        <w:pStyle w:val="ListBullet"/>
      </w:pPr>
      <w:r>
        <w:t>Line-tracing records or observation evidence before connections for IV, epidural, and enteral medication administration.</w:t>
      </w:r>
    </w:p>
    <w:p>
      <w:pPr>
        <w:pStyle w:val="ListBullet"/>
      </w:pPr>
      <w:r>
        <w:t>Training records for ICU, OT, emergency, and ward staff on catheter and tubing mis-connection prevention.</w:t>
      </w:r>
    </w:p>
    <w:p>
      <w:pPr>
        <w:pStyle w:val="Heading2"/>
      </w:pPr>
      <w:r>
        <w:t>Administration documentation — MOM.7.i</w:t>
      </w:r>
    </w:p>
    <w:p>
      <w:pPr>
        <w:pStyle w:val="ListBullet"/>
      </w:pPr>
      <w:r>
        <w:t>Medication chart or equivalent uniform-location records showing name, strength, route, timing, and administrator identity for each dose.</w:t>
      </w:r>
    </w:p>
    <w:p>
      <w:pPr>
        <w:pStyle w:val="ListBullet"/>
      </w:pPr>
      <w:r>
        <w:t>Confirmation each dose is documented separately — no shift-end batch-charting.</w:t>
      </w:r>
    </w:p>
    <w:p>
      <w:pPr>
        <w:pStyle w:val="ListBullet"/>
      </w:pPr>
      <w:r>
        <w:t>Records reflecting actual administration where it differed from the original order (brand substitution, half-tablet, infusion rate or volume adjustment).</w:t>
      </w:r>
    </w:p>
    <w:p>
      <w:pPr>
        <w:pStyle w:val="ListBullet"/>
      </w:pPr>
      <w:r>
        <w:t>Infusion records showing start time, rate or volume, and end time; continuous-infusion records showing drop rate and total volume per shift.</w:t>
      </w:r>
    </w:p>
    <w:p>
      <w:pPr>
        <w:pStyle w:val="Heading2"/>
      </w:pPr>
      <w:r>
        <w:t>Patient self-administration — MOM.7.j (Commitment*)</w:t>
      </w:r>
    </w:p>
    <w:p>
      <w:pPr>
        <w:pStyle w:val="ListBullet"/>
      </w:pPr>
      <w:r>
        <w:t>Documented organisational decision on whether patient self-administration is permitted.</w:t>
      </w:r>
    </w:p>
    <w:p>
      <w:pPr>
        <w:pStyle w:val="ListBullet"/>
      </w:pPr>
      <w:r>
        <w:t>Written guidance defining which medications a patient may self-administer, where permitted.</w:t>
      </w:r>
    </w:p>
    <w:p>
      <w:pPr>
        <w:pStyle w:val="ListBullet"/>
      </w:pPr>
      <w:r>
        <w:t>Dose-reminder documentation records, where self-administration is permitted.</w:t>
      </w:r>
    </w:p>
    <w:p>
      <w:pPr>
        <w:pStyle w:val="Heading2"/>
      </w:pPr>
      <w:r>
        <w:t>Outside medications — MOM.7.k (Commitment*)</w:t>
      </w:r>
    </w:p>
    <w:p>
      <w:pPr>
        <w:pStyle w:val="ListBullet"/>
      </w:pPr>
      <w:r>
        <w:t>Documented organisational decision on whether patients may bring their own medications.</w:t>
      </w:r>
    </w:p>
    <w:p>
      <w:pPr>
        <w:pStyle w:val="ListBullet"/>
      </w:pPr>
      <w:r>
        <w:t>Written pre-requisites guidance (for example, clear label showing name, strength, expiry date, and batch number), where outside medications are permitted.</w:t>
      </w:r>
    </w:p>
    <w:p>
      <w:pPr>
        <w:pStyle w:val="ListBullet"/>
      </w:pPr>
      <w:r>
        <w:t>Records showing outside medications identified by pharmacy or the treating doctor before use.</w:t>
      </w:r>
    </w:p>
    <w:p>
      <w:pPr>
        <w:pStyle w:val="Heading1"/>
      </w:pPr>
      <w:r>
        <w:t>14. References</w:t>
      </w:r>
    </w:p>
    <w:p>
      <w:pPr>
        <w:pStyle w:val="ListNumber"/>
      </w:pPr>
      <w:r>
        <w:t>National Accreditation Board for Hospitals and Healthcare Providers. NABH Accreditation Standards for Hospitals, 6th Edition. MOM.7.</w:t>
      </w:r>
    </w:p>
    <w:p>
      <w:pPr>
        <w:pStyle w:val="ListNumber"/>
      </w:pPr>
      <w:r>
        <w:t>Guidebook interpretation supplied for MOM.7.a through MOM.7.k.</w:t>
      </w:r>
    </w:p>
    <w:p>
      <w:pPr>
        <w:pStyle w:val="ListNumber"/>
      </w:pPr>
      <w:r>
        <w:t>Institute for Safe Medication Practices (ISMP). Acute Care Guidelines for Timely Administration of Scheduled Medications.</w:t>
      </w:r>
    </w:p>
    <w:p>
      <w:pPr>
        <w:pStyle w:val="ListNumber"/>
      </w:pPr>
      <w:r>
        <w:t>Internal documents of «Hospital Name»: authorised-administration-personnel list; high-risk medication list; medication administration records; line-tracing procedures; self-administration and outside-medication guidance.</w:t>
      </w:r>
    </w:p>
    <w:p>
      <w:pPr>
        <w:pStyle w:val="Heading1"/>
      </w:pPr>
      <w:r>
        <w:t>Disclaimer</w:t>
      </w:r>
    </w:p>
    <w:p>
      <w:pPr/>
      <w:r>
        <w:t>This policy reorganises the supplied MOM.7 objective-element wording and Guidebook interpretation into plain-language policy format. The modal strength of the source has been preserved. Optional examples and mechanisms have not been converted into mandatory requirements. The exact requirements of the registered-nurse or MBBS-minimum-doctor qualification, two-identifier patient identification (unique identification number plus full name; bed-number alone explicitly excluded), the five-parameter completeness check (name, strength, route, frequency, time) with deferral — not adjustment — for any missing parameter, two-staff independent documented verification for high-risk medications (nurse-nurse or nurse-doctor), the absolute IV-extension-tube prohibitions (epidurals, irrigation, drains, central lines, enteric feeding tubes), line-tracing before every connection or reconnection, each-dose documentation separately and not batched at shift-end, and the stop-work text with all four administration triggers (patient identification, medication/strength/route/timing verification, physical inspection, permitted-person check) plus the tubing mis-connection trigger have been retained verbatim. Role names in the stop-work section are in plain text as specified.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