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AAC.10.b — Care coordination (Commitment)</w:t>
      </w:r>
    </w:p>
    <w:p>
      <w:r>
        <w:rPr>
          <w:b/>
          <w:sz w:val="30"/>
        </w:rPr>
        <w:t>AAC.10 Record 3 — Care Coordination / Transfer Communication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Communication or transfer notes when a patient moves across care settings. Every time this happens for real, whoever is responsible adds one new row to the table below, filling in: Patient ID, From Setting, To Setting, Communicated To.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communication or transfer notes when a patient moves across care settings. The worked example below shows a real entry: patient id was “IP-2026-0142”, from setting was “Emergency”, to setting was “ICU”.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From Setting: </w:t>
      </w:r>
      <w:r>
        <w:t>Enter the actual from setting for this specific entry — real information from what actually happened, not a placeholder. The worked example row below shows 'Emergency'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 Setting: </w:t>
      </w:r>
      <w:r>
        <w:t>Enter the actual to setting for this specific entry — real information from what actually happened, not a placeholder. The worked example row below shows 'ICU'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Communicated To: </w:t>
      </w:r>
      <w:r>
        <w:t>Enter the actual communicated to for this specific entry — real information from what actually happened, not a placeholder. The worked example row below shows 'ICU In-Charge, Dr. A. Rao'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From Setting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 Setting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Communicated To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Emergency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ICU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ICU In-Charge, Dr. A. Rao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