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AAC.10.f — Internal referral guidance (Commitment*)</w:t>
      </w:r>
    </w:p>
    <w:p>
      <w:r>
        <w:rPr>
          <w:b/>
          <w:sz w:val="30"/>
        </w:rPr>
        <w:t>AAC.10 Record 10 — Internal Referral Guidance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current written guidance exists for internal referral (opinion/co-management/takeover; urgency; timeframes). Every time this happens for real, whoever is responsible adds one new row to the table below, filling in: Guidance Element,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current written guidance exists for internal referral (opinion/co-management/takeover; urgency; timeframes). The worked example below shows a real entry: guidance element was “Urgency grading for internal referrals”, document reference was “REFERRAL-SOP-01, v1.0”,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Guidance Element: </w:t>
      </w:r>
      <w:r>
        <w:t>Enter the actual guidance element for this specific entry — real information from what actually happened, not a placeholder. The worked example row below shows 'Urgency grading for internal referrals'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'REFERRAL-SOP-01, v1.0'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Guidance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Urgency grading for internal referrals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REFERRAL-SOP-01, v1.0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