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AAC.12.a — Discharge planning (Commitment)</w:t>
      </w:r>
    </w:p>
    <w:p>
      <w:r>
        <w:rPr>
          <w:b/>
          <w:sz w:val="30"/>
        </w:rPr>
        <w:t>AAC.12 Record 2 — Discharge Plan Discussion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 of discussion with patient and/or family about the discharge plan. Every time this happens for real, whoever is responsible adds one new row to the table below, filling in: Patient ID, Discussed With, Date, Key Points Covered.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treating team fills this in at the point a real patient is actually discharged — in this case, that means discussion with patient and/or family about the discharge plan. The worked example below shows a real entry: on 14-Jan-2026, patient id was “IP-2026-0142”, discussed with was “Patient + spouse”, key points covered was “Home care needs, follow-up date, medication”.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discharge that isn't actually planned, discussed and documented is how a patient leaves without knowing what to do next, or the hospital loses its own record of what was agreed — this record is the proof the discharge was handled properly, not just that the patient left.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Discussed With: </w:t>
      </w:r>
      <w:r>
        <w:t>Enter the actual discussed with for this specific entry — real information from what actually happened, not a placeholder. The worked example row below shows 'Patient + spouse'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'14-Jan-2026'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Key Points Covered: </w:t>
      </w:r>
      <w:r>
        <w:t>Enter the actual key points covered for this specific entry — real information from what actually happened, not a placeholder. The worked example row below shows 'Home care needs, follow-up date, medication'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Discussed With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Key Points Covered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Patient + spouse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14-Jan-2026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Home care needs, follow-up date, medication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