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AAC.12.g — Discharge-time monitoring (Commitment)</w:t>
      </w:r>
    </w:p>
    <w:p>
      <w:r>
        <w:rPr>
          <w:b/>
          <w:sz w:val="30"/>
        </w:rPr>
        <w:t>AAC.12 Record 16 — Discharge-Time Benchmark Definition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Defined discharge-time benchmarks, by payer mix where used. Every time this happens for real, whoever is responsible adds one new row to the table below, filling in: Payer Category, Benchmark Discharge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treating team fills this in at the point a real patient is actually discharged — in this case, that means defined discharge-time benchmarks, by payer mix where used. The worked example below shows a real entry: on 4 hours from fit-for-discharge declaration, payer category was “Insurance/TPA”.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discharge that isn't actually planned, discussed and documented is how a patient leaves without knowing what to do next, or the hospital loses its own record of what was agreed — this record is the proof the discharge was handled properly, not just that the patient left.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Payer Category: </w:t>
      </w:r>
      <w:r>
        <w:t>Enter the actual payer category for this specific entry — real information from what actually happened, not a placeholder. The worked example row below shows 'Insurance/TPA'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Benchmark Discharge Time: </w:t>
      </w:r>
      <w:r>
        <w:t>Enter the actual benchmark discharge time for this specific entry — real information from what actually happened, not a placeholder. The worked example row below shows '4 hours from fit-for-discharge declaration'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40"/>
        <w:gridCol w:w="4840"/>
      </w:tblGrid>
      <w:tr>
        <w:tc>
          <w:tcPr>
            <w:tcW w:type="dxa" w:w="4840"/>
            <w:shd w:val="clear" w:fill="D9E2F3"/>
          </w:tcPr>
          <w:p>
            <w:r/>
            <w:r>
              <w:rPr>
                <w:b/>
                <w:sz w:val="20"/>
              </w:rPr>
              <w:t>Payer Category</w:t>
            </w:r>
          </w:p>
        </w:tc>
        <w:tc>
          <w:tcPr>
            <w:tcW w:type="dxa" w:w="4840"/>
            <w:shd w:val="clear" w:fill="D9E2F3"/>
          </w:tcPr>
          <w:p>
            <w:r/>
            <w:r>
              <w:rPr>
                <w:b/>
                <w:sz w:val="20"/>
              </w:rPr>
              <w:t>Benchmark Discharge Time</w:t>
            </w:r>
          </w:p>
        </w:tc>
      </w:tr>
      <w:tr>
        <w:tc>
          <w:tcPr>
            <w:tcW w:type="dxa" w:w="9680"/>
            <w:gridSpan w:val="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4840"/>
            <w:shd w:val="clear" w:fill="FFF2CC"/>
          </w:tcPr>
          <w:p>
            <w:r/>
            <w:r>
              <w:rPr>
                <w:b w:val="0"/>
                <w:sz w:val="20"/>
              </w:rPr>
              <w:t>Insurance/TPA</w:t>
            </w:r>
          </w:p>
        </w:tc>
        <w:tc>
          <w:tcPr>
            <w:tcW w:type="dxa" w:w="4840"/>
            <w:shd w:val="clear" w:fill="FFF2CC"/>
          </w:tcPr>
          <w:p>
            <w:r/>
            <w:r>
              <w:rPr>
                <w:b w:val="0"/>
                <w:sz w:val="20"/>
              </w:rPr>
              <w:t>4 hours from fit-for-discharge declaration</w:t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