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AAC.12.g — Discharge-time monitoring (Commitment)</w:t>
      </w:r>
    </w:p>
    <w:p>
      <w:r>
        <w:rPr>
          <w:b/>
          <w:sz w:val="30"/>
        </w:rPr>
        <w:t>AAC.12 Record 17 — Discharge-Time Log &amp; Delay Analysis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Discharge-time log with delay analysis and continual-improvement actions. Every time this happens for real, whoever is responsible adds one new row to the table below, filling in: Patient ID, Fit-for-Discharge Time, Actual Discharge Time, Delay Reason.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discharge-time log with delay analysis and continual-improvement actions. The worked example below shows a real entry: on 10:00, patient id was “IP-2026-0142”, actual discharge time was “13:30”, delay reason was “Awaiting TPA approval”.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'IP-2026-0142'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Fit-for-Discharge Time: </w:t>
      </w:r>
      <w:r>
        <w:t>Enter the actual fit-for-discharge time for this specific entry — real information from what actually happened, not a placeholder. The worked example row below shows '10:00'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Actual Discharge Time: </w:t>
      </w:r>
      <w:r>
        <w:t>Enter the actual actual discharge time for this specific entry — real information from what actually happened, not a placeholder. The worked example row below shows '13:30'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Delay Reason: </w:t>
      </w:r>
      <w:r>
        <w:t>Enter the actual delay reason for this specific entry — real information from what actually happened, not a placeholder. The worked example row below shows 'Awaiting TPA approval'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Fit-for-Discharge Time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Actual Discharge Time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Delay Reason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IP-2026-0142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10:00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13:30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Awaiting TPA approval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