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Patient Discharge Planning, Coordination and Summary Issuance</w:t>
      </w:r>
    </w:p>
    <w:p>
      <w:r>
        <w:t>«Hospital Name» — Supports AAC.12.a, AAC.12.b, AAC.12.d, AAC.12.e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plans discharge with the patient and family, coordinates it across departments including medico-legal and absconded cases, and issues a discharge or death summary to every patient who leaves.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plans discharge with the patient and family, coordinates it across departments including medico-legal and absconded cases, and issues a discharge or death summary to every patient who leaves.</w:t>
      </w:r>
    </w:p>
    <w:p>
      <w:pPr>
        <w:pStyle w:val="Heading1"/>
      </w:pPr>
      <w:r>
        <w:t>2. Scope</w:t>
      </w:r>
    </w:p>
    <w:p>
      <w:r>
        <w:t>Applies to treating doctors, nursing staff, accounts, and every department involved in a patient's discharge.</w:t>
      </w:r>
    </w:p>
    <w:p>
      <w:pPr>
        <w:pStyle w:val="Heading1"/>
      </w:pPr>
      <w:r>
        <w:t>3. Responsibility</w:t>
      </w:r>
    </w:p>
    <w:p>
      <w:r>
        <w:t xml:space="preserve">Treating Doctor: </w:t>
      </w:r>
      <w:r>
        <w:t>determines discharge readiness and discusses the plan with the patient and family.</w:t>
      </w:r>
    </w:p>
    <w:p>
      <w:r>
        <w:t xml:space="preserve">Accounts / Nursing / Other Departments: </w:t>
      </w:r>
      <w:r>
        <w:t>coordinate so discharge papers are completed within time.</w:t>
      </w:r>
    </w:p>
    <w:p>
      <w:r>
        <w:t xml:space="preserve">Medical Superintendent: </w:t>
      </w:r>
      <w:r>
        <w:t>is informed of every absconded case.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LAMA: </w:t>
      </w:r>
      <w:r>
        <w:t>Left Against Medical Advice — when a patient chooses to leave the hospital despite the treating doctor advising them to stay.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Planning discharge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The treating doctor determines discharge readiness during regular reassessment.</w:t>
      </w:r>
    </w:p>
    <w:p>
      <w:r>
        <w:t>2. Discuss the discharge plan with the patient and/or family, and document the discussion.</w:t>
      </w:r>
    </w:p>
    <w:p>
      <w:r>
        <w:t>3. For planned cases, note the expected discharge date at least 24 hours in advance, and prepare the draft summary and any special-needs arrangements ahead of time.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Agency for Healthcare Research and Quality. (n.d.). Strategy 4: IDEAL discharge planning.</w:t>
        </w:r>
      </w:hyperlink>
    </w:p>
    <w:p>
      <w:pPr>
        <w:pStyle w:val="Heading2"/>
      </w:pPr>
      <w:r>
        <w:t>5.2 Coordinating discharge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Coordinate with every department involved — including accounts — so discharge papers are completed within time.</w:t>
      </w:r>
    </w:p>
    <w:p>
      <w:r>
        <w:t>2. For a medico-legal case, inform the police per the hospital's coordination discipline, and document the intimation.</w:t>
      </w:r>
    </w:p>
    <w:p>
      <w:r>
        <w:t>3. For an absconded case, follow the hospital's coordination discipline — ward search, security notification, and escalation to the Medical Superintendent — and document the actions taken.</w:t>
      </w:r>
    </w:p>
    <w:p>
      <w:pPr>
        <w:pStyle w:val="Heading2"/>
      </w:pPr>
      <w:r>
        <w:t>5.3 Issuing the discharge or death summary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Give a discharge summary to every patient leaving the organisation — including those leaving against medical advice.</w:t>
      </w:r>
    </w:p>
    <w:p>
      <w:r>
        <w:t>2. In case of death, give a death summary to the next of kin or relatives, and obtain acknowledgement.</w:t>
      </w:r>
    </w:p>
    <w:p>
      <w:r>
        <w:t>3. Retain a copy of every discharge or death summary in the medical record.</w:t>
      </w:r>
    </w:p>
    <w:p>
      <w:pPr>
        <w:pStyle w:val="Heading1"/>
      </w:pPr>
      <w:r>
        <w:t>6. Records</w:t>
      </w:r>
    </w:p>
    <w:p>
      <w:r>
        <w:t>Supported by Records 1–5 and 9–13 of the AAC.12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the Established Discharge Process (HCO/AAC/POL/12) — AAC.12 policy</w:t>
      </w:r>
    </w:p>
    <w:p>
      <w:pPr>
        <w:pStyle w:val="ListParagraph"/>
      </w:pPr>
      <w:r>
        <w:t>SOP — Writing and Issuing the Discharge Summary (AAC.13)</w:t>
      </w:r>
    </w:p>
    <w:p>
      <w:pPr>
        <w:pStyle w:val="ListParagraph"/>
      </w:pPr>
      <w:r>
        <w:t>SOP — Leaving Against Medical Advice (LAMA)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Heading1"/>
      </w:pPr>
      <w:r>
        <w:t>9. Review</w:t>
      </w:r>
    </w:p>
    <w:p>
      <w:r>
        <w:t>Reviewed annually.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hrq.gov/patient-safety/patients-families/engagingfamilies/strategy4/index.html" TargetMode="External"/><Relationship Id="rId10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