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AAC.13.d — Urgent-care instructions (Commitment)</w:t>
      </w:r>
    </w:p>
    <w:p>
      <w:r>
        <w:rPr>
          <w:b/>
          <w:sz w:val="30"/>
        </w:rPr>
        <w:t>AAC.13 Record 7 — Urgent-Care Instruction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Urgent-care section specific to diagnosis/condition at discharge, with hospital or doctor contact. Every time this happens for real, whoever is responsible adds one new row to the table below, filling in: Patient ID, Urgent-Care Instruction, Contact Number Provided.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treating team fills this in at the point a real patient is actually discharged — in this case, that means urgent-care section specific to diagnosis/condition at discharge, with hospital or doctor contact. The worked example below shows a real entry: patient id was “IP-2026-0142”, urgent-care instruction was “Seek care immediately if chest pain, breathlessness, or fever recurs”, contact number provided was “Hospital: 044-XXXX-XXXX”.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discharge that isn't actually planned, discussed and documented is how a patient leaves without knowing what to do next, or the hospital loses its own record of what was agreed — this record is the proof the discharge was handled properly, not just that the patient left.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Urgent-Care Instruction: </w:t>
      </w:r>
      <w:r>
        <w:t>Enter the actual urgent-care instruction for this specific entry — real information from what actually happened, not a placeholder. The worked example row below shows 'Seek care immediately if chest pain, breathlessness, or fever recurs'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Contact Number Provided: </w:t>
      </w:r>
      <w:r>
        <w:t>A working contact — extension number or similar — that someone could actually use to reach this. The worked example row below shows 'Hospital: 044-XXXX-XXXX'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Urgent-Care Instruction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Contact Number Provided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Seek care immediately if chest pain, breathlessness, or fever recurs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Hospital: 044-XXXX-XXXX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