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AAC.2.b — Unique identification number generated at end of registration</w:t>
      </w:r>
    </w:p>
    <w:p>
      <w:r>
        <w:rPr>
          <w:b/>
          <w:sz w:val="30"/>
        </w:rPr>
        <w:t>AAC.2 Record 4 — Unique Number Master Index (Sample)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one unique identification number per patient, with no duplicates. Every time this happens for real, whoever is responsible adds one new row to the table below, filling in: Patient Name, Unique ID, Date First Registered, Duplicate Check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one unique identification number per patient, with no duplicates. The worked example below shows a real entry: on 10-Jan-2026, patient name was “Ram Kumar”, unique id was “UID-2026-88421”, duplicate check (y/n) was “No duplicate found”.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patient record that can't be reliably traced back to one unique number is a patient-safety risk — the wrong record can get pulled for the wrong patient. This record is what proves that traceability actually works.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Name: </w:t>
      </w:r>
      <w:r>
        <w:t>The patient's UHID or name/identifier for this specific entry. The worked example row below shows 'Ram Kumar'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Unique ID: </w:t>
      </w:r>
      <w:r>
        <w:t>Enter the actual unique id for this specific entry — real information from what actually happened, not a placeholder. The worked example row below shows 'UID-2026-88421'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Date First Registered: </w:t>
      </w:r>
      <w:r>
        <w:t>Enter the actual date first registered for this specific entry — real information from what actually happened, not a placeholder. The worked example row below shows '10-Jan-2026'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Duplicate Check (Y/N): </w:t>
      </w:r>
      <w:r>
        <w:t>Answer honestly with what's actually true — Y or N. Don't default to Y without checking. The worked example row below shows 'No duplicate found'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Name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Unique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First Registered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Duplicate Check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Ram Kumar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UID-2026-88421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No duplicate found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