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AAC.2.e — Access prioritised according to clinical needs</w:t>
      </w:r>
    </w:p>
    <w:p>
      <w:r>
        <w:rPr>
          <w:b/>
          <w:sz w:val="30"/>
        </w:rPr>
        <w:t>AAC.2 Record 14 — Clinical Priority Guidelines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clinical-priority guidelines exist for OPD and diagnostic queues. Every time this happens for real, whoever is responsible adds one new row to the table below, filling in: Guideline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clinical-priority guidelines exist for OPD and diagnostic queues. The worked example below shows a real entry: guideline element was “Chest-pain priority criteria”, document reference was “TRIAGE-SOP-02,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Guideline Element: </w:t>
      </w:r>
      <w:r>
        <w:t>Enter the actual guideline element for this specific entry — real information from what actually happened, not a placeholder. The worked example row below shows 'Chest-pain priority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'TRIAGE-SOP-02,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Guideline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Chest-pain priority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TRIAGE-SOP-02,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