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AAC.3.a — Transfer-in done appropriately</w:t>
      </w:r>
    </w:p>
    <w:p>
      <w:r>
        <w:rPr>
          <w:b/>
          <w:sz w:val="30"/>
        </w:rPr>
        <w:t>AAC.3 Record 4 — Transfer-In Registration Cross-Check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transfer-in patients are registered under the unique identification number. Every time this happens for real, whoever is responsible adds one new row to the table below, filling in: Patient Name, Unique ID, Transfer-In Date, Registered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transfer-in patients are registered under the unique identification number. The worked example below shows a real entry: on 11-Jan-2026, patient name was “Unknown Male → later ID'd as S. Verma”, unique id was “UID-2026-88450”, registered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Name: </w:t>
      </w:r>
      <w:r>
        <w:t>The patient's UHID or name/identifier for this specific entry. The worked example row below shows 'Unknown Male → later ID'd as S. Verma'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Unique ID: </w:t>
      </w:r>
      <w:r>
        <w:t>Enter the actual unique id for this specific entry — real information from what actually happened, not a placeholder. The worked example row below shows 'UID-2026-88450'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Transfer-In Date: </w:t>
      </w:r>
      <w:r>
        <w:t>Enter the actual transfer-in date for this specific entry — real information from what actually happened, not a placeholder.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Registered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Unique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Transfer-In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Registered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Unknown Male → later ID'd as S. Verma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UID-2026-88450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