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AAC.4.a — Standardised initial assessment</w:t>
      </w:r>
    </w:p>
    <w:p>
      <w:r>
        <w:rPr>
          <w:b/>
          <w:sz w:val="30"/>
        </w:rPr>
        <w:t>AAC.4 Record 1 — Standardised Assessment Format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an approved standardised initial-assessment format exists for OPD, day-care, IP, and emergency. Every time this happens for real, whoever is responsible adds one new row to the table below, filling in: Area, Format Name/Version, Approved By, Date Approved.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an approved standardised initial-assessment format exists for OPD, day-care, IP, and emergency. The worked example below shows a real entry: on 01-Jan-2026, area was “Emergency”, format name/version was “ER Initial Assessment Form v2.1”,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Area: </w:t>
      </w:r>
      <w:r>
        <w:t>Enter the actual area for this specific entry — real information from what actually happened, not a placeholder. The worked example row below shows 'Emergency'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Format Name/Version: </w:t>
      </w:r>
      <w:r>
        <w:t>How this was actually delivered — verbal, written, audio-visual, etc. — matching what really happened. The worked example row below shows 'ER Initial Assessment Form v2.1'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Approved By: </w:t>
      </w:r>
      <w:r>
        <w:t>Name and designation of the person who actually approved this — usually a senior/department-head role, not whoever filled in the form. The worked example row below shows 'Medical Superintendent'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 Approved: </w:t>
      </w:r>
      <w:r>
        <w:t>The actual date this happened — not the date you're filling the form. The worked example row below shows '01-Jan-2026'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Format Name/Version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Emergency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ER Initial Assessment Form v2.1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